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2709" w14:textId="18E3A9ED" w:rsidR="002C0971" w:rsidRDefault="002C0971" w:rsidP="002C0971">
      <w:pPr>
        <w:pStyle w:val="NormalWeb"/>
        <w:shd w:val="clear" w:color="auto" w:fill="FFFFFF"/>
        <w:spacing w:before="75" w:beforeAutospacing="0" w:after="75" w:afterAutospacing="0"/>
        <w:jc w:val="center"/>
        <w:rPr>
          <w:rStyle w:val="Strong"/>
          <w:rFonts w:ascii="Open Sans" w:hAnsi="Open Sans" w:cs="Open Sans"/>
          <w:color w:val="1C1D1E"/>
          <w:sz w:val="21"/>
          <w:szCs w:val="21"/>
        </w:rPr>
      </w:pPr>
      <w:r w:rsidRPr="002C0971">
        <w:rPr>
          <w:rStyle w:val="Strong"/>
          <w:rFonts w:ascii="Open Sans" w:hAnsi="Open Sans" w:cs="Open Sans"/>
          <w:i/>
          <w:iCs/>
          <w:color w:val="1C1D1E"/>
          <w:sz w:val="21"/>
          <w:szCs w:val="21"/>
        </w:rPr>
        <w:t>Molecular Ecology</w:t>
      </w:r>
      <w:r w:rsidRPr="002C0971">
        <w:rPr>
          <w:rStyle w:val="Strong"/>
          <w:rFonts w:ascii="Open Sans" w:hAnsi="Open Sans" w:cs="Open Sans"/>
          <w:color w:val="1C1D1E"/>
          <w:sz w:val="21"/>
          <w:szCs w:val="21"/>
        </w:rPr>
        <w:t xml:space="preserve"> and </w:t>
      </w:r>
      <w:r w:rsidRPr="002C0971">
        <w:rPr>
          <w:rStyle w:val="Strong"/>
          <w:rFonts w:ascii="Open Sans" w:hAnsi="Open Sans" w:cs="Open Sans"/>
          <w:i/>
          <w:iCs/>
          <w:color w:val="1C1D1E"/>
          <w:sz w:val="21"/>
          <w:szCs w:val="21"/>
        </w:rPr>
        <w:t>Molecular Ecology Resources</w:t>
      </w:r>
      <w:r w:rsidRPr="002C0971">
        <w:rPr>
          <w:rStyle w:val="Strong"/>
          <w:rFonts w:ascii="Open Sans" w:hAnsi="Open Sans" w:cs="Open Sans"/>
          <w:color w:val="1C1D1E"/>
          <w:sz w:val="21"/>
          <w:szCs w:val="21"/>
        </w:rPr>
        <w:t xml:space="preserve"> guidelines for Data Accessibility and Benefit-Sharing.</w:t>
      </w:r>
    </w:p>
    <w:p w14:paraId="252941C1" w14:textId="49A7526F" w:rsidR="002C0971" w:rsidRDefault="002C0971" w:rsidP="00495E07">
      <w:pPr>
        <w:pStyle w:val="NormalWeb"/>
        <w:shd w:val="clear" w:color="auto" w:fill="FFFFFF"/>
        <w:spacing w:before="75" w:beforeAutospacing="0" w:after="75" w:afterAutospacing="0"/>
        <w:rPr>
          <w:rStyle w:val="Strong"/>
          <w:rFonts w:ascii="Open Sans" w:hAnsi="Open Sans" w:cs="Open Sans"/>
          <w:color w:val="1C1D1E"/>
          <w:sz w:val="21"/>
          <w:szCs w:val="21"/>
        </w:rPr>
      </w:pPr>
    </w:p>
    <w:p w14:paraId="3312402C" w14:textId="77777777" w:rsidR="00A86EF4" w:rsidRDefault="00A86EF4" w:rsidP="00495E07">
      <w:pPr>
        <w:pStyle w:val="NormalWeb"/>
        <w:shd w:val="clear" w:color="auto" w:fill="FFFFFF"/>
        <w:spacing w:before="75" w:beforeAutospacing="0" w:after="75" w:afterAutospacing="0"/>
        <w:rPr>
          <w:rStyle w:val="Strong"/>
          <w:rFonts w:ascii="Open Sans" w:hAnsi="Open Sans" w:cs="Open Sans"/>
          <w:color w:val="1C1D1E"/>
          <w:sz w:val="21"/>
          <w:szCs w:val="21"/>
        </w:rPr>
      </w:pPr>
    </w:p>
    <w:p w14:paraId="3DCFA340" w14:textId="64337556"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Style w:val="Strong"/>
          <w:rFonts w:ascii="Open Sans" w:hAnsi="Open Sans" w:cs="Open Sans"/>
          <w:color w:val="1C1D1E"/>
          <w:sz w:val="21"/>
          <w:szCs w:val="21"/>
        </w:rPr>
        <w:t>Data Accessibility and Benefit-Sharing </w:t>
      </w:r>
    </w:p>
    <w:p w14:paraId="61B692BC" w14:textId="4EEFAAB9"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Style w:val="Emphasis"/>
          <w:rFonts w:ascii="Open Sans" w:hAnsi="Open Sans" w:cs="Open Sans"/>
          <w:color w:val="1C1D1E"/>
          <w:sz w:val="21"/>
          <w:szCs w:val="21"/>
        </w:rPr>
        <w:t>Molecular Ecology</w:t>
      </w:r>
      <w:r w:rsidR="00D37016">
        <w:rPr>
          <w:rStyle w:val="Emphasis"/>
          <w:rFonts w:ascii="Open Sans" w:hAnsi="Open Sans" w:cs="Open Sans"/>
          <w:color w:val="1C1D1E"/>
          <w:sz w:val="21"/>
          <w:szCs w:val="21"/>
        </w:rPr>
        <w:t>/Molecular Ecology Resources</w:t>
      </w:r>
      <w:r>
        <w:rPr>
          <w:rFonts w:ascii="Open Sans" w:hAnsi="Open Sans" w:cs="Open Sans"/>
          <w:color w:val="1C1D1E"/>
          <w:sz w:val="21"/>
          <w:szCs w:val="21"/>
        </w:rPr>
        <w:t> requires authors to include a </w:t>
      </w:r>
      <w:r>
        <w:rPr>
          <w:rStyle w:val="Strong"/>
          <w:rFonts w:ascii="Open Sans" w:hAnsi="Open Sans" w:cs="Open Sans"/>
          <w:color w:val="1C1D1E"/>
          <w:sz w:val="21"/>
          <w:szCs w:val="21"/>
        </w:rPr>
        <w:t>Data Accessibility and Benefit-Sharing</w:t>
      </w:r>
      <w:r>
        <w:rPr>
          <w:rFonts w:ascii="Open Sans" w:hAnsi="Open Sans" w:cs="Open Sans"/>
          <w:color w:val="1C1D1E"/>
          <w:sz w:val="21"/>
          <w:szCs w:val="21"/>
        </w:rPr>
        <w:t> </w:t>
      </w:r>
      <w:r>
        <w:rPr>
          <w:rStyle w:val="Strong"/>
          <w:rFonts w:ascii="Open Sans" w:hAnsi="Open Sans" w:cs="Open Sans"/>
          <w:color w:val="1C1D1E"/>
          <w:sz w:val="21"/>
          <w:szCs w:val="21"/>
        </w:rPr>
        <w:t>section</w:t>
      </w:r>
      <w:r>
        <w:rPr>
          <w:rFonts w:ascii="Open Sans" w:hAnsi="Open Sans" w:cs="Open Sans"/>
          <w:color w:val="1C1D1E"/>
          <w:sz w:val="21"/>
          <w:szCs w:val="21"/>
        </w:rPr>
        <w:t> in their manuscript, located beneath the references. The </w:t>
      </w:r>
      <w:r>
        <w:rPr>
          <w:rStyle w:val="Strong"/>
          <w:rFonts w:ascii="Open Sans" w:hAnsi="Open Sans" w:cs="Open Sans"/>
          <w:color w:val="1C1D1E"/>
          <w:sz w:val="21"/>
          <w:szCs w:val="21"/>
        </w:rPr>
        <w:t>Data Accessibility and Benefit-Sharing</w:t>
      </w:r>
      <w:r>
        <w:rPr>
          <w:rFonts w:ascii="Open Sans" w:hAnsi="Open Sans" w:cs="Open Sans"/>
          <w:color w:val="1C1D1E"/>
          <w:sz w:val="21"/>
          <w:szCs w:val="21"/>
        </w:rPr>
        <w:t> </w:t>
      </w:r>
      <w:r>
        <w:rPr>
          <w:rStyle w:val="Strong"/>
          <w:rFonts w:ascii="Open Sans" w:hAnsi="Open Sans" w:cs="Open Sans"/>
          <w:color w:val="1C1D1E"/>
          <w:sz w:val="21"/>
          <w:szCs w:val="21"/>
        </w:rPr>
        <w:t>section</w:t>
      </w:r>
      <w:r>
        <w:rPr>
          <w:rFonts w:ascii="Open Sans" w:hAnsi="Open Sans" w:cs="Open Sans"/>
          <w:color w:val="1C1D1E"/>
          <w:sz w:val="21"/>
          <w:szCs w:val="21"/>
        </w:rPr>
        <w:t> should be divided into two distinct statements: a</w:t>
      </w:r>
      <w:r>
        <w:rPr>
          <w:rStyle w:val="Strong"/>
          <w:rFonts w:ascii="Open Sans" w:hAnsi="Open Sans" w:cs="Open Sans"/>
          <w:color w:val="1C1D1E"/>
          <w:sz w:val="21"/>
          <w:szCs w:val="21"/>
        </w:rPr>
        <w:t> Data Accessibility Statement</w:t>
      </w:r>
      <w:r>
        <w:rPr>
          <w:rFonts w:ascii="Open Sans" w:hAnsi="Open Sans" w:cs="Open Sans"/>
          <w:color w:val="1C1D1E"/>
          <w:sz w:val="21"/>
          <w:szCs w:val="21"/>
        </w:rPr>
        <w:t> and a </w:t>
      </w:r>
      <w:r>
        <w:rPr>
          <w:rStyle w:val="Strong"/>
          <w:rFonts w:ascii="Open Sans" w:hAnsi="Open Sans" w:cs="Open Sans"/>
          <w:color w:val="1C1D1E"/>
          <w:sz w:val="21"/>
          <w:szCs w:val="21"/>
        </w:rPr>
        <w:t>Benefit-Sharing Statement, </w:t>
      </w:r>
      <w:r>
        <w:rPr>
          <w:rFonts w:ascii="Open Sans" w:hAnsi="Open Sans" w:cs="Open Sans"/>
          <w:color w:val="1C1D1E"/>
          <w:sz w:val="21"/>
          <w:szCs w:val="21"/>
        </w:rPr>
        <w:t>each with their own sub-heading. Please see the information below for guidance on what should be included in each statement. A </w:t>
      </w:r>
      <w:r>
        <w:rPr>
          <w:rStyle w:val="Strong"/>
          <w:rFonts w:ascii="Open Sans" w:hAnsi="Open Sans" w:cs="Open Sans"/>
          <w:color w:val="1C1D1E"/>
          <w:sz w:val="21"/>
          <w:szCs w:val="21"/>
        </w:rPr>
        <w:t>Data Accessibility and Benefit-Sharing section</w:t>
      </w:r>
      <w:r>
        <w:rPr>
          <w:rFonts w:ascii="Open Sans" w:hAnsi="Open Sans" w:cs="Open Sans"/>
          <w:color w:val="1C1D1E"/>
          <w:sz w:val="21"/>
          <w:szCs w:val="21"/>
        </w:rPr>
        <w:t> that contains only a Data Accessibility Statement will be permitted in cases where there are no benefits to report.</w:t>
      </w:r>
      <w:r>
        <w:rPr>
          <w:rFonts w:ascii="Open Sans" w:hAnsi="Open Sans" w:cs="Open Sans"/>
          <w:color w:val="1C1D1E"/>
          <w:sz w:val="21"/>
          <w:szCs w:val="21"/>
        </w:rPr>
        <w:br/>
      </w:r>
    </w:p>
    <w:p w14:paraId="342810E3"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Fonts w:ascii="Open Sans" w:hAnsi="Open Sans" w:cs="Open Sans"/>
          <w:color w:val="1C1D1E"/>
          <w:sz w:val="21"/>
          <w:szCs w:val="21"/>
          <w:u w:val="single"/>
        </w:rPr>
        <w:t>Data Accessibility Statement</w:t>
      </w:r>
    </w:p>
    <w:p w14:paraId="001C9F19" w14:textId="5A93DC7B"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Style w:val="Emphasis"/>
          <w:rFonts w:ascii="Open Sans" w:hAnsi="Open Sans" w:cs="Open Sans"/>
          <w:color w:val="1C1D1E"/>
          <w:sz w:val="21"/>
          <w:szCs w:val="21"/>
        </w:rPr>
        <w:t>Molecular Ecology</w:t>
      </w:r>
      <w:r w:rsidR="00675ED7">
        <w:rPr>
          <w:rStyle w:val="Emphasis"/>
          <w:rFonts w:ascii="Open Sans" w:hAnsi="Open Sans" w:cs="Open Sans"/>
          <w:color w:val="1C1D1E"/>
          <w:sz w:val="21"/>
          <w:szCs w:val="21"/>
        </w:rPr>
        <w:t>/Molecular Ecology Resources</w:t>
      </w:r>
      <w:r>
        <w:rPr>
          <w:rFonts w:ascii="Open Sans" w:hAnsi="Open Sans" w:cs="Open Sans"/>
          <w:color w:val="1C1D1E"/>
          <w:sz w:val="21"/>
          <w:szCs w:val="21"/>
        </w:rPr>
        <w:t xml:space="preserve"> requires, as a condition for publication, that the data supporting the results in the paper will be archived in an appropriate public repository. Essential metadata such as </w:t>
      </w:r>
      <w:proofErr w:type="spellStart"/>
      <w:r>
        <w:rPr>
          <w:rFonts w:ascii="Open Sans" w:hAnsi="Open Sans" w:cs="Open Sans"/>
          <w:color w:val="1C1D1E"/>
          <w:sz w:val="21"/>
          <w:szCs w:val="21"/>
        </w:rPr>
        <w:t>spatio</w:t>
      </w:r>
      <w:proofErr w:type="spellEnd"/>
      <w:r>
        <w:rPr>
          <w:rFonts w:ascii="Open Sans" w:hAnsi="Open Sans" w:cs="Open Sans"/>
          <w:color w:val="1C1D1E"/>
          <w:sz w:val="21"/>
          <w:szCs w:val="21"/>
        </w:rPr>
        <w:t xml:space="preserve">-temporal data should be archived and linked to associated genetic data when organisms have been collected from natural, wild, or domestic populations (for example, </w:t>
      </w:r>
      <w:proofErr w:type="spellStart"/>
      <w:r>
        <w:rPr>
          <w:rFonts w:ascii="Open Sans" w:hAnsi="Open Sans" w:cs="Open Sans"/>
          <w:color w:val="1C1D1E"/>
          <w:sz w:val="21"/>
          <w:szCs w:val="21"/>
        </w:rPr>
        <w:t>spatio</w:t>
      </w:r>
      <w:proofErr w:type="spellEnd"/>
      <w:r>
        <w:rPr>
          <w:rFonts w:ascii="Open Sans" w:hAnsi="Open Sans" w:cs="Open Sans"/>
          <w:color w:val="1C1D1E"/>
          <w:sz w:val="21"/>
          <w:szCs w:val="21"/>
        </w:rPr>
        <w:t>-temporal data may not be relevant for laboratory strains or some experimental systems). Whenever possible the scripts and other artefacts used to generate the analyses presented in the paper should also be publicly archived. Exceptions may be granted at the discretion of the editor, especially for sensitive information such as human subject data or the location of endangered species.</w:t>
      </w:r>
    </w:p>
    <w:p w14:paraId="65103242"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Fonts w:ascii="Open Sans" w:hAnsi="Open Sans" w:cs="Open Sans"/>
          <w:color w:val="1C1D1E"/>
          <w:sz w:val="21"/>
          <w:szCs w:val="21"/>
        </w:rPr>
        <w:t xml:space="preserve">Authors are required to archive their data in a publicly accessible repository such as Dryad, </w:t>
      </w:r>
      <w:proofErr w:type="spellStart"/>
      <w:r>
        <w:rPr>
          <w:rFonts w:ascii="Open Sans" w:hAnsi="Open Sans" w:cs="Open Sans"/>
          <w:color w:val="1C1D1E"/>
          <w:sz w:val="21"/>
          <w:szCs w:val="21"/>
        </w:rPr>
        <w:t>FigShare</w:t>
      </w:r>
      <w:proofErr w:type="spellEnd"/>
      <w:r>
        <w:rPr>
          <w:rFonts w:ascii="Open Sans" w:hAnsi="Open Sans" w:cs="Open Sans"/>
          <w:color w:val="1C1D1E"/>
          <w:sz w:val="21"/>
          <w:szCs w:val="21"/>
        </w:rPr>
        <w:t>, GenBank, etc.  (</w:t>
      </w:r>
      <w:proofErr w:type="gramStart"/>
      <w:r>
        <w:rPr>
          <w:rFonts w:ascii="Open Sans" w:hAnsi="Open Sans" w:cs="Open Sans"/>
          <w:color w:val="1C1D1E"/>
          <w:sz w:val="21"/>
          <w:szCs w:val="21"/>
        </w:rPr>
        <w:t>not</w:t>
      </w:r>
      <w:proofErr w:type="gramEnd"/>
      <w:r>
        <w:rPr>
          <w:rFonts w:ascii="Open Sans" w:hAnsi="Open Sans" w:cs="Open Sans"/>
          <w:color w:val="1C1D1E"/>
          <w:sz w:val="21"/>
          <w:szCs w:val="21"/>
        </w:rPr>
        <w:t xml:space="preserve"> a laboratory homepage).</w:t>
      </w:r>
    </w:p>
    <w:p w14:paraId="39650650"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Fonts w:ascii="Open Sans" w:hAnsi="Open Sans" w:cs="Open Sans"/>
          <w:color w:val="1C1D1E"/>
          <w:sz w:val="21"/>
          <w:szCs w:val="21"/>
        </w:rPr>
        <w:t>Upon submission, the Data Accessibility and Benefit-Sharing section must include a Data Accessibility Statement, but this can describe curation plans prior to data having been thus archived.</w:t>
      </w:r>
    </w:p>
    <w:p w14:paraId="73B00858"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Fonts w:ascii="Open Sans" w:hAnsi="Open Sans" w:cs="Open Sans"/>
          <w:color w:val="1C1D1E"/>
          <w:sz w:val="21"/>
          <w:szCs w:val="21"/>
        </w:rPr>
        <w:t xml:space="preserve">Upon acceptance, data must be </w:t>
      </w:r>
      <w:proofErr w:type="gramStart"/>
      <w:r>
        <w:rPr>
          <w:rFonts w:ascii="Open Sans" w:hAnsi="Open Sans" w:cs="Open Sans"/>
          <w:color w:val="1C1D1E"/>
          <w:sz w:val="21"/>
          <w:szCs w:val="21"/>
        </w:rPr>
        <w:t>archived</w:t>
      </w:r>
      <w:proofErr w:type="gramEnd"/>
      <w:r>
        <w:rPr>
          <w:rFonts w:ascii="Open Sans" w:hAnsi="Open Sans" w:cs="Open Sans"/>
          <w:color w:val="1C1D1E"/>
          <w:sz w:val="21"/>
          <w:szCs w:val="21"/>
        </w:rPr>
        <w:t xml:space="preserve"> and the Data Accessibility Statement completed including database and information such as accession numbers or DOI (as available) for all data from the manuscript before the manuscript can be published.</w:t>
      </w:r>
    </w:p>
    <w:p w14:paraId="433D1DA4"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Fonts w:ascii="Open Sans" w:hAnsi="Open Sans" w:cs="Open Sans"/>
          <w:color w:val="1C1D1E"/>
          <w:sz w:val="21"/>
          <w:szCs w:val="21"/>
        </w:rPr>
        <w:t>Note: if data, scripts, or other artefacts used to generate the analyses presented in the paper are available via a publicly available data repository, authors should include a reference to the location of the material within their paper.</w:t>
      </w:r>
    </w:p>
    <w:p w14:paraId="1AA6F838"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Fonts w:ascii="Open Sans" w:hAnsi="Open Sans" w:cs="Open Sans"/>
          <w:color w:val="1C1D1E"/>
          <w:sz w:val="21"/>
          <w:szCs w:val="21"/>
        </w:rPr>
        <w:br/>
      </w:r>
      <w:r>
        <w:rPr>
          <w:rFonts w:ascii="Open Sans" w:hAnsi="Open Sans" w:cs="Open Sans"/>
          <w:color w:val="1C1D1E"/>
          <w:sz w:val="21"/>
          <w:szCs w:val="21"/>
          <w:u w:val="single"/>
        </w:rPr>
        <w:t>Example text for Data Accessibility Statement:</w:t>
      </w:r>
    </w:p>
    <w:p w14:paraId="128D3571"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Style w:val="Strong"/>
          <w:rFonts w:ascii="Open Sans" w:hAnsi="Open Sans" w:cs="Open Sans"/>
          <w:color w:val="1C1D1E"/>
          <w:sz w:val="21"/>
          <w:szCs w:val="21"/>
        </w:rPr>
        <w:t>Genetic data:</w:t>
      </w:r>
    </w:p>
    <w:p w14:paraId="4E47F343"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Fonts w:ascii="Open Sans" w:hAnsi="Open Sans" w:cs="Open Sans"/>
          <w:color w:val="1C1D1E"/>
          <w:sz w:val="21"/>
          <w:szCs w:val="21"/>
        </w:rPr>
        <w:t>Raw sequence reads are deposited in the SRA (</w:t>
      </w:r>
      <w:proofErr w:type="spellStart"/>
      <w:r>
        <w:rPr>
          <w:rFonts w:ascii="Open Sans" w:hAnsi="Open Sans" w:cs="Open Sans"/>
          <w:color w:val="1C1D1E"/>
          <w:sz w:val="21"/>
          <w:szCs w:val="21"/>
        </w:rPr>
        <w:t>BioProject</w:t>
      </w:r>
      <w:proofErr w:type="spellEnd"/>
      <w:r>
        <w:rPr>
          <w:rFonts w:ascii="Open Sans" w:hAnsi="Open Sans" w:cs="Open Sans"/>
          <w:color w:val="1C1D1E"/>
          <w:sz w:val="21"/>
          <w:szCs w:val="21"/>
        </w:rPr>
        <w:t xml:space="preserve"> XXX)</w:t>
      </w:r>
    </w:p>
    <w:p w14:paraId="394C288F"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Fonts w:ascii="Open Sans" w:hAnsi="Open Sans" w:cs="Open Sans"/>
          <w:color w:val="1C1D1E"/>
          <w:sz w:val="21"/>
          <w:szCs w:val="21"/>
        </w:rPr>
        <w:t xml:space="preserve">Individual genotype data are available on </w:t>
      </w:r>
      <w:proofErr w:type="spellStart"/>
      <w:r>
        <w:rPr>
          <w:rFonts w:ascii="Open Sans" w:hAnsi="Open Sans" w:cs="Open Sans"/>
          <w:color w:val="1C1D1E"/>
          <w:sz w:val="21"/>
          <w:szCs w:val="21"/>
        </w:rPr>
        <w:t>DataDryad</w:t>
      </w:r>
      <w:proofErr w:type="spellEnd"/>
      <w:r>
        <w:rPr>
          <w:rFonts w:ascii="Open Sans" w:hAnsi="Open Sans" w:cs="Open Sans"/>
          <w:color w:val="1C1D1E"/>
          <w:sz w:val="21"/>
          <w:szCs w:val="21"/>
        </w:rPr>
        <w:t xml:space="preserve"> (XXXX)</w:t>
      </w:r>
    </w:p>
    <w:p w14:paraId="39BCB9E9"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Fonts w:ascii="Open Sans" w:hAnsi="Open Sans" w:cs="Open Sans"/>
          <w:color w:val="1C1D1E"/>
          <w:sz w:val="21"/>
          <w:szCs w:val="21"/>
        </w:rPr>
        <w:t>Unique haplotype data are deposited to NCBI Nucleotide Database (XXXX)</w:t>
      </w:r>
    </w:p>
    <w:p w14:paraId="1834EFD2"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Style w:val="Strong"/>
          <w:rFonts w:ascii="Open Sans" w:hAnsi="Open Sans" w:cs="Open Sans"/>
          <w:color w:val="1C1D1E"/>
          <w:sz w:val="21"/>
          <w:szCs w:val="21"/>
        </w:rPr>
        <w:t>Sample metadata:</w:t>
      </w:r>
    </w:p>
    <w:p w14:paraId="41E10C67"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Fonts w:ascii="Open Sans" w:hAnsi="Open Sans" w:cs="Open Sans"/>
          <w:color w:val="1C1D1E"/>
          <w:sz w:val="21"/>
          <w:szCs w:val="21"/>
        </w:rPr>
        <w:t>Metadata are also stored in the SRA (</w:t>
      </w:r>
      <w:proofErr w:type="spellStart"/>
      <w:r>
        <w:rPr>
          <w:rFonts w:ascii="Open Sans" w:hAnsi="Open Sans" w:cs="Open Sans"/>
          <w:color w:val="1C1D1E"/>
          <w:sz w:val="21"/>
          <w:szCs w:val="21"/>
        </w:rPr>
        <w:t>BioProject</w:t>
      </w:r>
      <w:proofErr w:type="spellEnd"/>
      <w:r>
        <w:rPr>
          <w:rFonts w:ascii="Open Sans" w:hAnsi="Open Sans" w:cs="Open Sans"/>
          <w:color w:val="1C1D1E"/>
          <w:sz w:val="21"/>
          <w:szCs w:val="21"/>
        </w:rPr>
        <w:t xml:space="preserve"> XXX) using the XXXX </w:t>
      </w:r>
      <w:proofErr w:type="spellStart"/>
      <w:r>
        <w:rPr>
          <w:rFonts w:ascii="Open Sans" w:hAnsi="Open Sans" w:cs="Open Sans"/>
          <w:color w:val="1C1D1E"/>
          <w:sz w:val="21"/>
          <w:szCs w:val="21"/>
        </w:rPr>
        <w:t>MIxS</w:t>
      </w:r>
      <w:proofErr w:type="spellEnd"/>
      <w:r>
        <w:rPr>
          <w:rFonts w:ascii="Open Sans" w:hAnsi="Open Sans" w:cs="Open Sans"/>
          <w:color w:val="1C1D1E"/>
          <w:sz w:val="21"/>
          <w:szCs w:val="21"/>
        </w:rPr>
        <w:t xml:space="preserve"> package XXXX</w:t>
      </w:r>
    </w:p>
    <w:p w14:paraId="71A59F56"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Fonts w:ascii="Open Sans" w:hAnsi="Open Sans" w:cs="Open Sans"/>
          <w:color w:val="1C1D1E"/>
          <w:sz w:val="21"/>
          <w:szCs w:val="21"/>
        </w:rPr>
        <w:lastRenderedPageBreak/>
        <w:t>OR</w:t>
      </w:r>
    </w:p>
    <w:p w14:paraId="79DE90DD"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Fonts w:ascii="Open Sans" w:hAnsi="Open Sans" w:cs="Open Sans"/>
          <w:color w:val="1C1D1E"/>
          <w:sz w:val="21"/>
          <w:szCs w:val="21"/>
        </w:rPr>
        <w:t xml:space="preserve">Metadata can be found in GEOME (DOI </w:t>
      </w:r>
      <w:proofErr w:type="gramStart"/>
      <w:r>
        <w:rPr>
          <w:rFonts w:ascii="Open Sans" w:hAnsi="Open Sans" w:cs="Open Sans"/>
          <w:color w:val="1C1D1E"/>
          <w:sz w:val="21"/>
          <w:szCs w:val="21"/>
        </w:rPr>
        <w:t>XXX;</w:t>
      </w:r>
      <w:proofErr w:type="gramEnd"/>
      <w:r>
        <w:rPr>
          <w:rFonts w:ascii="Open Sans" w:hAnsi="Open Sans" w:cs="Open Sans"/>
          <w:color w:val="1C1D1E"/>
          <w:sz w:val="21"/>
          <w:szCs w:val="21"/>
        </w:rPr>
        <w:t xml:space="preserve"> including </w:t>
      </w:r>
      <w:proofErr w:type="spellStart"/>
      <w:r>
        <w:rPr>
          <w:rFonts w:ascii="Open Sans" w:hAnsi="Open Sans" w:cs="Open Sans"/>
          <w:color w:val="1C1D1E"/>
          <w:sz w:val="21"/>
          <w:szCs w:val="21"/>
        </w:rPr>
        <w:t>georeferences</w:t>
      </w:r>
      <w:proofErr w:type="spellEnd"/>
      <w:r>
        <w:rPr>
          <w:rFonts w:ascii="Open Sans" w:hAnsi="Open Sans" w:cs="Open Sans"/>
          <w:color w:val="1C1D1E"/>
          <w:sz w:val="21"/>
          <w:szCs w:val="21"/>
        </w:rPr>
        <w:t xml:space="preserve"> in decimal degrees and date/month/year of sampling event)</w:t>
      </w:r>
    </w:p>
    <w:p w14:paraId="6A685A68"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Fonts w:ascii="Open Sans" w:hAnsi="Open Sans" w:cs="Open Sans"/>
          <w:color w:val="1C1D1E"/>
          <w:sz w:val="21"/>
          <w:szCs w:val="21"/>
        </w:rPr>
        <w:t>OR</w:t>
      </w:r>
    </w:p>
    <w:p w14:paraId="406125D1"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Fonts w:ascii="Open Sans" w:hAnsi="Open Sans" w:cs="Open Sans"/>
          <w:color w:val="1C1D1E"/>
          <w:sz w:val="21"/>
          <w:szCs w:val="21"/>
        </w:rPr>
        <w:t xml:space="preserve">Related metadata can be found in XXX (including </w:t>
      </w:r>
      <w:proofErr w:type="spellStart"/>
      <w:r>
        <w:rPr>
          <w:rFonts w:ascii="Open Sans" w:hAnsi="Open Sans" w:cs="Open Sans"/>
          <w:color w:val="1C1D1E"/>
          <w:sz w:val="21"/>
          <w:szCs w:val="21"/>
        </w:rPr>
        <w:t>georeferences</w:t>
      </w:r>
      <w:proofErr w:type="spellEnd"/>
      <w:r>
        <w:rPr>
          <w:rFonts w:ascii="Open Sans" w:hAnsi="Open Sans" w:cs="Open Sans"/>
          <w:color w:val="1C1D1E"/>
          <w:sz w:val="21"/>
          <w:szCs w:val="21"/>
        </w:rPr>
        <w:t xml:space="preserve"> in decimal degrees and date/month/year of sampling event) and XXX provides unique sample identifier tags that can be matched to both the deposited genetic data and deposited metadata (for haplotypes, individual sample identifiers and their corresponding haplotype)</w:t>
      </w:r>
      <w:r>
        <w:rPr>
          <w:rFonts w:ascii="Open Sans" w:hAnsi="Open Sans" w:cs="Open Sans"/>
          <w:color w:val="1C1D1E"/>
          <w:sz w:val="21"/>
          <w:szCs w:val="21"/>
        </w:rPr>
        <w:br/>
      </w:r>
    </w:p>
    <w:p w14:paraId="69F49B30"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Fonts w:ascii="Open Sans" w:hAnsi="Open Sans" w:cs="Open Sans"/>
          <w:color w:val="1C1D1E"/>
          <w:sz w:val="21"/>
          <w:szCs w:val="21"/>
          <w:u w:val="single"/>
        </w:rPr>
        <w:t>Benefit-Sharing Statement</w:t>
      </w:r>
    </w:p>
    <w:p w14:paraId="67F27F97" w14:textId="09279FB3"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Style w:val="Emphasis"/>
          <w:rFonts w:ascii="Open Sans" w:hAnsi="Open Sans" w:cs="Open Sans"/>
          <w:color w:val="1C1D1E"/>
          <w:sz w:val="21"/>
          <w:szCs w:val="21"/>
        </w:rPr>
        <w:t>Molecular Ecology</w:t>
      </w:r>
      <w:r w:rsidR="006D75F2">
        <w:rPr>
          <w:rStyle w:val="Emphasis"/>
          <w:rFonts w:ascii="Open Sans" w:hAnsi="Open Sans" w:cs="Open Sans"/>
          <w:color w:val="1C1D1E"/>
          <w:sz w:val="21"/>
          <w:szCs w:val="21"/>
        </w:rPr>
        <w:t>/Molecular</w:t>
      </w:r>
      <w:r w:rsidR="001F2EF1">
        <w:rPr>
          <w:rStyle w:val="Emphasis"/>
          <w:rFonts w:ascii="Open Sans" w:hAnsi="Open Sans" w:cs="Open Sans"/>
          <w:color w:val="1C1D1E"/>
          <w:sz w:val="21"/>
          <w:szCs w:val="21"/>
        </w:rPr>
        <w:t xml:space="preserve"> Ecology Resources</w:t>
      </w:r>
      <w:r>
        <w:rPr>
          <w:rFonts w:ascii="Open Sans" w:hAnsi="Open Sans" w:cs="Open Sans"/>
          <w:color w:val="1C1D1E"/>
          <w:sz w:val="21"/>
          <w:szCs w:val="21"/>
        </w:rPr>
        <w:t> additionally requires, as a condition for publication, that the research described in the publication complies with relevant national laws implementing the Convention on Biological Diversity and Nagoya Protocol agreements. Authors will be required to make an affirmative statement during the submission process as to compliance with national laws, if applicable.</w:t>
      </w:r>
    </w:p>
    <w:p w14:paraId="5D15A70F" w14:textId="7AC96A2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Style w:val="Emphasis"/>
          <w:rFonts w:ascii="Open Sans" w:hAnsi="Open Sans" w:cs="Open Sans"/>
          <w:color w:val="1C1D1E"/>
          <w:sz w:val="21"/>
          <w:szCs w:val="21"/>
        </w:rPr>
        <w:t>Molecular Ecology</w:t>
      </w:r>
      <w:r w:rsidR="00EA4740">
        <w:rPr>
          <w:rStyle w:val="Emphasis"/>
          <w:rFonts w:ascii="Open Sans" w:hAnsi="Open Sans" w:cs="Open Sans"/>
          <w:color w:val="1C1D1E"/>
          <w:sz w:val="21"/>
          <w:szCs w:val="21"/>
        </w:rPr>
        <w:t>/Molecular Ecology Resources</w:t>
      </w:r>
      <w:r>
        <w:rPr>
          <w:rFonts w:ascii="Open Sans" w:hAnsi="Open Sans" w:cs="Open Sans"/>
          <w:color w:val="1C1D1E"/>
          <w:sz w:val="21"/>
          <w:szCs w:val="21"/>
        </w:rPr>
        <w:t> also encourages authors to include a Benefit-Sharing Statement within their Data Accessibility and Benefit-Sharing section. The Benefit-Sharing Statement should disclose benefits generated commensurate with the Nagoya Protocol. For further information on the scope of benefits recognized under the Nagoya Protocol, see the link to the Nagoya Protocol Annex at </w:t>
      </w:r>
      <w:hyperlink r:id="rId4" w:history="1">
        <w:r>
          <w:rPr>
            <w:rStyle w:val="Strong"/>
            <w:rFonts w:ascii="Open Sans" w:hAnsi="Open Sans" w:cs="Open Sans"/>
            <w:color w:val="005274"/>
            <w:sz w:val="21"/>
            <w:szCs w:val="21"/>
            <w:u w:val="single"/>
          </w:rPr>
          <w:t>https://www.cbd.int/abs/text/articles/?sec=abs-37</w:t>
        </w:r>
      </w:hyperlink>
      <w:r>
        <w:rPr>
          <w:rFonts w:ascii="Open Sans" w:hAnsi="Open Sans" w:cs="Open Sans"/>
          <w:color w:val="1C1D1E"/>
          <w:sz w:val="21"/>
          <w:szCs w:val="21"/>
        </w:rPr>
        <w:t>.</w:t>
      </w:r>
    </w:p>
    <w:p w14:paraId="22B6D72C"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Fonts w:ascii="Open Sans" w:hAnsi="Open Sans" w:cs="Open Sans"/>
          <w:color w:val="1C1D1E"/>
          <w:sz w:val="21"/>
          <w:szCs w:val="21"/>
        </w:rPr>
        <w:t>We recognize in some cases the Nagoya Protocol is not applicable or that there are no benefits to report, which is why the reporting of benefits is not mandatory.</w:t>
      </w:r>
      <w:r>
        <w:rPr>
          <w:rFonts w:ascii="Open Sans" w:hAnsi="Open Sans" w:cs="Open Sans"/>
          <w:color w:val="1C1D1E"/>
          <w:sz w:val="21"/>
          <w:szCs w:val="21"/>
        </w:rPr>
        <w:br/>
      </w:r>
    </w:p>
    <w:p w14:paraId="5B697BF7"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Fonts w:ascii="Open Sans" w:hAnsi="Open Sans" w:cs="Open Sans"/>
          <w:color w:val="1C1D1E"/>
          <w:sz w:val="21"/>
          <w:szCs w:val="21"/>
          <w:u w:val="single"/>
        </w:rPr>
        <w:t>Example Text for Benefit-Sharing Statement:</w:t>
      </w:r>
    </w:p>
    <w:p w14:paraId="78C5896B"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Fonts w:ascii="Open Sans" w:hAnsi="Open Sans" w:cs="Open Sans"/>
          <w:color w:val="1C1D1E"/>
          <w:sz w:val="21"/>
          <w:szCs w:val="21"/>
        </w:rPr>
        <w:t>"Benefits Generated: A research collaboration was developed with scientists from the countries providing genetic samples, all collaborators are included as co-authors, the results of research have been shared with the provider communities and the broader scientific community (see above), and the research addresses a priority concern, in this case the conservation of organisms being studied. More broadly, our group is committed to international scientific partnerships, as well as institutional capacity building.</w:t>
      </w:r>
    </w:p>
    <w:p w14:paraId="4D35D424"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Fonts w:ascii="Open Sans" w:hAnsi="Open Sans" w:cs="Open Sans"/>
          <w:color w:val="1C1D1E"/>
          <w:sz w:val="21"/>
          <w:szCs w:val="21"/>
        </w:rPr>
        <w:t xml:space="preserve">"Benefits Generated: We consulted with the indigenous community providing the biodiversity resources and hired members of a local Hunters and Trappers Association to help with biodiversity assessments, including collections of </w:t>
      </w:r>
      <w:proofErr w:type="gramStart"/>
      <w:r>
        <w:rPr>
          <w:rFonts w:ascii="Open Sans" w:hAnsi="Open Sans" w:cs="Open Sans"/>
          <w:color w:val="1C1D1E"/>
          <w:sz w:val="21"/>
          <w:szCs w:val="21"/>
        </w:rPr>
        <w:t>canid</w:t>
      </w:r>
      <w:proofErr w:type="gramEnd"/>
      <w:r>
        <w:rPr>
          <w:rFonts w:ascii="Open Sans" w:hAnsi="Open Sans" w:cs="Open Sans"/>
          <w:color w:val="1C1D1E"/>
          <w:sz w:val="21"/>
          <w:szCs w:val="21"/>
        </w:rPr>
        <w:t xml:space="preserve"> </w:t>
      </w:r>
      <w:proofErr w:type="spellStart"/>
      <w:r>
        <w:rPr>
          <w:rFonts w:ascii="Open Sans" w:hAnsi="Open Sans" w:cs="Open Sans"/>
          <w:color w:val="1C1D1E"/>
          <w:sz w:val="21"/>
          <w:szCs w:val="21"/>
        </w:rPr>
        <w:t>fecal</w:t>
      </w:r>
      <w:proofErr w:type="spellEnd"/>
      <w:r>
        <w:rPr>
          <w:rFonts w:ascii="Open Sans" w:hAnsi="Open Sans" w:cs="Open Sans"/>
          <w:color w:val="1C1D1E"/>
          <w:sz w:val="21"/>
          <w:szCs w:val="21"/>
        </w:rPr>
        <w:t xml:space="preserve"> samples for diet analysis based on DNA metabarcoding, and local knowledge concerning changes in prey communities over time. The contributions of all individuals to the research, including indigenous hunters, are described in the METHODS and ACKNOWLEDGEMENTS, and a research report has been provided to the relevant indigenous community council, as well as to the territorial government. The research addresses a priority concern regarding an apparent shift in the prey of canids from wild to domesticated animals. Lastly, as described above, all data have been shared with the broader public via appropriate biological databases.”</w:t>
      </w:r>
    </w:p>
    <w:p w14:paraId="2518561A"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Fonts w:ascii="Open Sans" w:hAnsi="Open Sans" w:cs="Open Sans"/>
          <w:color w:val="1C1D1E"/>
          <w:sz w:val="21"/>
          <w:szCs w:val="21"/>
        </w:rPr>
        <w:t>“Benefits Generated: Benefits from this research accrue from the sharing of our data and results on public databases as described above.”</w:t>
      </w:r>
    </w:p>
    <w:p w14:paraId="31ABE1F0" w14:textId="77777777" w:rsidR="00495E07" w:rsidRDefault="00495E07" w:rsidP="00495E07">
      <w:pPr>
        <w:pStyle w:val="NormalWeb"/>
        <w:shd w:val="clear" w:color="auto" w:fill="FFFFFF"/>
        <w:spacing w:before="75" w:beforeAutospacing="0" w:after="75" w:afterAutospacing="0"/>
        <w:rPr>
          <w:rFonts w:ascii="Open Sans" w:hAnsi="Open Sans" w:cs="Open Sans"/>
          <w:color w:val="1C1D1E"/>
          <w:sz w:val="21"/>
          <w:szCs w:val="21"/>
        </w:rPr>
      </w:pPr>
      <w:r>
        <w:rPr>
          <w:rFonts w:ascii="Open Sans" w:hAnsi="Open Sans" w:cs="Open Sans"/>
          <w:color w:val="1C1D1E"/>
          <w:sz w:val="21"/>
          <w:szCs w:val="21"/>
        </w:rPr>
        <w:lastRenderedPageBreak/>
        <w:t>Manuscripts lacking a Data Accessibility and Benefit-Sharing section will not be passed through to an editor. Please note that reviewers will be asked to comment on the completeness of this section. If you have any questions about the Data Accessibility and Benefit-Sharing section, please email </w:t>
      </w:r>
      <w:hyperlink r:id="rId5" w:history="1">
        <w:r>
          <w:rPr>
            <w:rStyle w:val="Strong"/>
            <w:rFonts w:ascii="Open Sans" w:hAnsi="Open Sans" w:cs="Open Sans"/>
            <w:color w:val="005274"/>
            <w:sz w:val="21"/>
            <w:szCs w:val="21"/>
            <w:u w:val="single"/>
          </w:rPr>
          <w:t>manager.molecol@wiley.com</w:t>
        </w:r>
      </w:hyperlink>
      <w:r>
        <w:rPr>
          <w:rFonts w:ascii="Open Sans" w:hAnsi="Open Sans" w:cs="Open Sans"/>
          <w:color w:val="1C1D1E"/>
          <w:sz w:val="21"/>
          <w:szCs w:val="21"/>
        </w:rPr>
        <w:t> to request further information.</w:t>
      </w:r>
    </w:p>
    <w:p w14:paraId="749F12C7" w14:textId="77777777" w:rsidR="00CC1079" w:rsidRDefault="00CC1079"/>
    <w:sectPr w:rsidR="00CC1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07"/>
    <w:rsid w:val="001F2EF1"/>
    <w:rsid w:val="002C0971"/>
    <w:rsid w:val="00495E07"/>
    <w:rsid w:val="00675ED7"/>
    <w:rsid w:val="006D75F2"/>
    <w:rsid w:val="00A86EF4"/>
    <w:rsid w:val="00CC1079"/>
    <w:rsid w:val="00D37016"/>
    <w:rsid w:val="00EA4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3956"/>
  <w15:chartTrackingRefBased/>
  <w15:docId w15:val="{E13777FD-DE72-45AA-A1DA-03EAED9D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E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5E07"/>
    <w:rPr>
      <w:b/>
      <w:bCs/>
    </w:rPr>
  </w:style>
  <w:style w:type="character" w:styleId="Emphasis">
    <w:name w:val="Emphasis"/>
    <w:basedOn w:val="DefaultParagraphFont"/>
    <w:uiPriority w:val="20"/>
    <w:qFormat/>
    <w:rsid w:val="00495E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ager.molecol@wiley.com" TargetMode="External"/><Relationship Id="rId4" Type="http://schemas.openxmlformats.org/officeDocument/2006/relationships/hyperlink" Target="https://www.cbd.int/abs/text/articles/?sec=abs-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942</Words>
  <Characters>5376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Sibbett, Ben</dc:creator>
  <cp:keywords/>
  <dc:description/>
  <cp:lastModifiedBy>Sibbett, Ben</cp:lastModifiedBy>
  <cp:revision>8</cp:revision>
  <dcterms:created xsi:type="dcterms:W3CDTF">2021-12-22T13:39:00Z</dcterms:created>
  <dcterms:modified xsi:type="dcterms:W3CDTF">2021-12-23T09:37:00Z</dcterms:modified>
</cp:coreProperties>
</file>