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4" w:rsidRPr="0001061D" w:rsidRDefault="009822C9" w:rsidP="00AD0C9A">
      <w:pPr>
        <w:framePr w:w="6841" w:h="898" w:hSpace="180" w:wrap="around" w:vAnchor="text" w:hAnchor="page" w:x="3601" w:y="-356"/>
        <w:autoSpaceDE w:val="0"/>
        <w:autoSpaceDN w:val="0"/>
        <w:adjustRightInd w:val="0"/>
        <w:ind w:right="-900"/>
        <w:jc w:val="both"/>
        <w:rPr>
          <w:b/>
          <w:bCs/>
          <w:caps/>
          <w:sz w:val="22"/>
          <w:szCs w:val="22"/>
        </w:rPr>
      </w:pPr>
      <w:r w:rsidRPr="0001061D">
        <w:rPr>
          <w:b/>
          <w:bCs/>
          <w:caps/>
          <w:sz w:val="22"/>
          <w:szCs w:val="22"/>
        </w:rPr>
        <w:t>Project Identification Form</w:t>
      </w:r>
      <w:r w:rsidR="009D3C35" w:rsidRPr="0001061D">
        <w:rPr>
          <w:b/>
          <w:bCs/>
          <w:caps/>
          <w:sz w:val="22"/>
          <w:szCs w:val="22"/>
        </w:rPr>
        <w:t xml:space="preserve"> (PIF)</w:t>
      </w:r>
      <w:r w:rsidR="006E5B4E" w:rsidRPr="0001061D">
        <w:rPr>
          <w:rStyle w:val="FootnoteReference"/>
          <w:b/>
          <w:bCs/>
          <w:caps/>
          <w:sz w:val="22"/>
          <w:szCs w:val="22"/>
        </w:rPr>
        <w:t xml:space="preserve"> </w:t>
      </w:r>
    </w:p>
    <w:p w:rsidR="009822C9" w:rsidRPr="0001061D" w:rsidRDefault="00FF3B3C" w:rsidP="00AD0C9A">
      <w:pPr>
        <w:framePr w:w="6841" w:h="898" w:hSpace="180" w:wrap="around" w:vAnchor="text" w:hAnchor="page" w:x="3601" w:y="-356"/>
        <w:autoSpaceDE w:val="0"/>
        <w:autoSpaceDN w:val="0"/>
        <w:adjustRightInd w:val="0"/>
        <w:jc w:val="both"/>
        <w:rPr>
          <w:bCs/>
          <w:sz w:val="22"/>
          <w:szCs w:val="22"/>
        </w:rPr>
      </w:pPr>
      <w:bookmarkStart w:id="0" w:name="Dropdown7"/>
      <w:r w:rsidRPr="0001061D">
        <w:rPr>
          <w:b/>
          <w:bCs/>
          <w:smallCaps/>
          <w:sz w:val="22"/>
          <w:szCs w:val="22"/>
        </w:rPr>
        <w:t xml:space="preserve">Project Type: </w:t>
      </w:r>
      <w:bookmarkEnd w:id="0"/>
      <w:r w:rsidR="007548FF">
        <w:rPr>
          <w:b/>
          <w:bCs/>
          <w:smallCaps/>
          <w:sz w:val="22"/>
          <w:szCs w:val="22"/>
        </w:rPr>
        <w:t>Medium</w:t>
      </w:r>
      <w:r w:rsidR="00825774" w:rsidRPr="0001061D">
        <w:rPr>
          <w:b/>
          <w:bCs/>
          <w:smallCaps/>
          <w:sz w:val="22"/>
          <w:szCs w:val="22"/>
        </w:rPr>
        <w:t xml:space="preserve"> sized</w:t>
      </w:r>
    </w:p>
    <w:p w:rsidR="00FD42D8" w:rsidRPr="0001061D" w:rsidRDefault="00FD42D8" w:rsidP="00AD0C9A">
      <w:pPr>
        <w:framePr w:w="6841" w:h="898" w:hSpace="180" w:wrap="around" w:vAnchor="text" w:hAnchor="page" w:x="3601" w:y="-356"/>
        <w:autoSpaceDE w:val="0"/>
        <w:autoSpaceDN w:val="0"/>
        <w:adjustRightInd w:val="0"/>
        <w:jc w:val="both"/>
        <w:rPr>
          <w:b/>
          <w:bCs/>
          <w:sz w:val="22"/>
          <w:szCs w:val="22"/>
        </w:rPr>
      </w:pPr>
      <w:r w:rsidRPr="0001061D">
        <w:rPr>
          <w:b/>
          <w:bCs/>
          <w:smallCaps/>
          <w:sz w:val="22"/>
          <w:szCs w:val="22"/>
        </w:rPr>
        <w:t xml:space="preserve">Type of Trust </w:t>
      </w:r>
      <w:r w:rsidR="00816D79" w:rsidRPr="0001061D">
        <w:rPr>
          <w:b/>
          <w:bCs/>
          <w:smallCaps/>
          <w:sz w:val="22"/>
          <w:szCs w:val="22"/>
        </w:rPr>
        <w:t>Fund:</w:t>
      </w:r>
      <w:r w:rsidR="00816D79">
        <w:rPr>
          <w:b/>
          <w:bCs/>
          <w:smallCaps/>
          <w:sz w:val="22"/>
          <w:szCs w:val="22"/>
        </w:rPr>
        <w:t xml:space="preserve"> </w:t>
      </w:r>
      <w:r w:rsidR="00A42634">
        <w:rPr>
          <w:b/>
          <w:bCs/>
          <w:smallCaps/>
          <w:sz w:val="22"/>
          <w:szCs w:val="22"/>
        </w:rPr>
        <w:t>NPIF</w:t>
      </w:r>
    </w:p>
    <w:p w:rsidR="004C6CA1" w:rsidRPr="0001061D" w:rsidRDefault="00390C2E" w:rsidP="00AD0C9A">
      <w:pPr>
        <w:pStyle w:val="Footer"/>
        <w:tabs>
          <w:tab w:val="clear" w:pos="4320"/>
          <w:tab w:val="clear" w:pos="8640"/>
        </w:tabs>
        <w:jc w:val="both"/>
        <w:rPr>
          <w:sz w:val="22"/>
          <w:szCs w:val="22"/>
        </w:rPr>
      </w:pPr>
      <w:r w:rsidRPr="0001061D">
        <w:rPr>
          <w:noProof/>
          <w:sz w:val="22"/>
          <w:szCs w:val="22"/>
          <w:lang w:val="en-US"/>
        </w:rPr>
        <w:drawing>
          <wp:anchor distT="0" distB="0" distL="114300" distR="114300" simplePos="0" relativeHeight="251657728" behindDoc="0" locked="0" layoutInCell="1" allowOverlap="1" wp14:anchorId="29AA9800" wp14:editId="10960661">
            <wp:simplePos x="0" y="0"/>
            <wp:positionH relativeFrom="column">
              <wp:posOffset>-38100</wp:posOffset>
            </wp:positionH>
            <wp:positionV relativeFrom="paragraph">
              <wp:posOffset>-247650</wp:posOffset>
            </wp:positionV>
            <wp:extent cx="723900" cy="741680"/>
            <wp:effectExtent l="0" t="0" r="0" b="1270"/>
            <wp:wrapSquare wrapText="bothSides"/>
            <wp:docPr id="19"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anchor>
        </w:drawing>
      </w:r>
    </w:p>
    <w:p w:rsidR="003800CC" w:rsidRPr="0001061D" w:rsidRDefault="003800CC" w:rsidP="00AD0C9A">
      <w:pPr>
        <w:pStyle w:val="Footer"/>
        <w:tabs>
          <w:tab w:val="clear" w:pos="4320"/>
          <w:tab w:val="clear" w:pos="8640"/>
        </w:tabs>
        <w:jc w:val="both"/>
        <w:rPr>
          <w:sz w:val="22"/>
          <w:szCs w:val="22"/>
        </w:rPr>
      </w:pPr>
    </w:p>
    <w:p w:rsidR="002E10D0" w:rsidRPr="0001061D" w:rsidRDefault="002E10D0" w:rsidP="00AD0C9A">
      <w:pPr>
        <w:pStyle w:val="Footer"/>
        <w:tabs>
          <w:tab w:val="clear" w:pos="4320"/>
          <w:tab w:val="clear" w:pos="8640"/>
        </w:tabs>
        <w:ind w:left="4320" w:right="110" w:firstLine="540"/>
        <w:jc w:val="both"/>
        <w:rPr>
          <w:b/>
          <w:sz w:val="22"/>
          <w:szCs w:val="22"/>
        </w:rPr>
      </w:pPr>
    </w:p>
    <w:p w:rsidR="0032267B" w:rsidRPr="0001061D" w:rsidRDefault="0032267B" w:rsidP="00AD0C9A">
      <w:pPr>
        <w:spacing w:after="80"/>
        <w:ind w:right="-187"/>
        <w:jc w:val="both"/>
        <w:rPr>
          <w:b/>
          <w:caps/>
          <w:sz w:val="22"/>
          <w:szCs w:val="22"/>
          <w:u w:val="single"/>
        </w:rPr>
      </w:pPr>
    </w:p>
    <w:p w:rsidR="000B13C8" w:rsidRPr="0001061D" w:rsidRDefault="000B13C8" w:rsidP="00D947F2">
      <w:pPr>
        <w:spacing w:after="80"/>
        <w:jc w:val="both"/>
        <w:rPr>
          <w:b/>
          <w:caps/>
          <w:sz w:val="22"/>
          <w:szCs w:val="22"/>
          <w:u w:val="single"/>
        </w:rPr>
      </w:pPr>
      <w:r w:rsidRPr="0001061D">
        <w:rPr>
          <w:b/>
          <w:caps/>
          <w:sz w:val="22"/>
          <w:szCs w:val="22"/>
          <w:u w:val="single"/>
        </w:rPr>
        <w:t>PART I: Project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752"/>
        <w:gridCol w:w="2481"/>
        <w:gridCol w:w="1915"/>
      </w:tblGrid>
      <w:tr w:rsidR="00BA5CBE" w:rsidRPr="00E00901" w:rsidTr="00D947F2">
        <w:tc>
          <w:tcPr>
            <w:tcW w:w="1302" w:type="pct"/>
          </w:tcPr>
          <w:p w:rsidR="00097611" w:rsidRPr="00E00901" w:rsidRDefault="00097611" w:rsidP="00AD0C9A">
            <w:pPr>
              <w:jc w:val="both"/>
              <w:rPr>
                <w:sz w:val="20"/>
                <w:szCs w:val="20"/>
              </w:rPr>
            </w:pPr>
            <w:r w:rsidRPr="00E00901">
              <w:rPr>
                <w:sz w:val="20"/>
                <w:szCs w:val="20"/>
              </w:rPr>
              <w:t>Project Title:</w:t>
            </w:r>
          </w:p>
        </w:tc>
        <w:tc>
          <w:tcPr>
            <w:tcW w:w="3698" w:type="pct"/>
            <w:gridSpan w:val="3"/>
          </w:tcPr>
          <w:p w:rsidR="00097611" w:rsidRPr="00892DEB" w:rsidRDefault="00755A24" w:rsidP="00D947F2">
            <w:pPr>
              <w:jc w:val="both"/>
              <w:rPr>
                <w:sz w:val="20"/>
                <w:szCs w:val="20"/>
              </w:rPr>
            </w:pPr>
            <w:bookmarkStart w:id="1" w:name="_GoBack"/>
            <w:r w:rsidRPr="00892DEB">
              <w:rPr>
                <w:sz w:val="20"/>
                <w:szCs w:val="20"/>
              </w:rPr>
              <w:t>Strengthening the Implementation of the Nagoya Protocol on Access to Genetic Resources and Benefit Sharing in the Cook Islands</w:t>
            </w:r>
            <w:bookmarkEnd w:id="1"/>
          </w:p>
        </w:tc>
      </w:tr>
      <w:tr w:rsidR="00BA5CBE" w:rsidRPr="0077400A" w:rsidTr="00D947F2">
        <w:tc>
          <w:tcPr>
            <w:tcW w:w="1302" w:type="pct"/>
          </w:tcPr>
          <w:p w:rsidR="00534F6A" w:rsidRPr="00E00901" w:rsidRDefault="00534F6A" w:rsidP="00AD0C9A">
            <w:pPr>
              <w:jc w:val="both"/>
              <w:rPr>
                <w:sz w:val="20"/>
                <w:szCs w:val="20"/>
              </w:rPr>
            </w:pPr>
            <w:r w:rsidRPr="00E00901">
              <w:rPr>
                <w:sz w:val="20"/>
                <w:szCs w:val="20"/>
              </w:rPr>
              <w:t>Country(</w:t>
            </w:r>
            <w:proofErr w:type="spellStart"/>
            <w:r w:rsidRPr="00E00901">
              <w:rPr>
                <w:sz w:val="20"/>
                <w:szCs w:val="20"/>
              </w:rPr>
              <w:t>ies</w:t>
            </w:r>
            <w:proofErr w:type="spellEnd"/>
            <w:r w:rsidRPr="00E00901">
              <w:rPr>
                <w:sz w:val="20"/>
                <w:szCs w:val="20"/>
              </w:rPr>
              <w:t>):</w:t>
            </w:r>
          </w:p>
        </w:tc>
        <w:tc>
          <w:tcPr>
            <w:tcW w:w="1703" w:type="pct"/>
          </w:tcPr>
          <w:p w:rsidR="00534F6A" w:rsidRPr="00E00901" w:rsidRDefault="00534F6A" w:rsidP="00AD0C9A">
            <w:pPr>
              <w:jc w:val="both"/>
              <w:rPr>
                <w:sz w:val="20"/>
                <w:szCs w:val="20"/>
              </w:rPr>
            </w:pPr>
            <w:r w:rsidRPr="00E00901">
              <w:rPr>
                <w:sz w:val="20"/>
                <w:szCs w:val="20"/>
              </w:rPr>
              <w:t>Cook Islands</w:t>
            </w:r>
          </w:p>
        </w:tc>
        <w:tc>
          <w:tcPr>
            <w:tcW w:w="1126" w:type="pct"/>
          </w:tcPr>
          <w:p w:rsidR="00534F6A" w:rsidRPr="00E00901" w:rsidRDefault="00534F6A" w:rsidP="006D1543">
            <w:pPr>
              <w:jc w:val="both"/>
              <w:rPr>
                <w:sz w:val="20"/>
                <w:szCs w:val="20"/>
              </w:rPr>
            </w:pPr>
            <w:r w:rsidRPr="00E00901">
              <w:rPr>
                <w:sz w:val="20"/>
                <w:szCs w:val="20"/>
              </w:rPr>
              <w:t>GEF Project ID:</w:t>
            </w:r>
          </w:p>
        </w:tc>
        <w:tc>
          <w:tcPr>
            <w:tcW w:w="869" w:type="pct"/>
          </w:tcPr>
          <w:p w:rsidR="00534F6A" w:rsidRPr="00E00901" w:rsidRDefault="00534F6A" w:rsidP="00AD0C9A">
            <w:pPr>
              <w:jc w:val="both"/>
              <w:rPr>
                <w:sz w:val="20"/>
                <w:szCs w:val="20"/>
              </w:rPr>
            </w:pPr>
            <w:r w:rsidRPr="00E00901">
              <w:rPr>
                <w:sz w:val="20"/>
                <w:szCs w:val="20"/>
              </w:rPr>
              <w:t>TBD</w:t>
            </w:r>
          </w:p>
        </w:tc>
      </w:tr>
      <w:tr w:rsidR="00BA5CBE" w:rsidRPr="0077400A" w:rsidTr="00D947F2">
        <w:tc>
          <w:tcPr>
            <w:tcW w:w="1302" w:type="pct"/>
          </w:tcPr>
          <w:p w:rsidR="00534F6A" w:rsidRPr="0077400A" w:rsidRDefault="00534F6A" w:rsidP="00AD0C9A">
            <w:pPr>
              <w:jc w:val="both"/>
              <w:rPr>
                <w:sz w:val="20"/>
                <w:szCs w:val="20"/>
              </w:rPr>
            </w:pPr>
            <w:r w:rsidRPr="0077400A">
              <w:rPr>
                <w:sz w:val="20"/>
                <w:szCs w:val="20"/>
              </w:rPr>
              <w:t>GEF Agency(</w:t>
            </w:r>
            <w:proofErr w:type="spellStart"/>
            <w:r w:rsidRPr="0077400A">
              <w:rPr>
                <w:sz w:val="20"/>
                <w:szCs w:val="20"/>
              </w:rPr>
              <w:t>ies</w:t>
            </w:r>
            <w:proofErr w:type="spellEnd"/>
            <w:r w:rsidRPr="0077400A">
              <w:rPr>
                <w:sz w:val="20"/>
                <w:szCs w:val="20"/>
              </w:rPr>
              <w:t>):</w:t>
            </w:r>
          </w:p>
        </w:tc>
        <w:tc>
          <w:tcPr>
            <w:tcW w:w="1703" w:type="pct"/>
          </w:tcPr>
          <w:p w:rsidR="00534F6A" w:rsidRPr="0077400A" w:rsidRDefault="00534F6A" w:rsidP="00AD0C9A">
            <w:pPr>
              <w:jc w:val="both"/>
              <w:rPr>
                <w:sz w:val="20"/>
                <w:szCs w:val="20"/>
              </w:rPr>
            </w:pPr>
            <w:r w:rsidRPr="0077400A">
              <w:rPr>
                <w:rFonts w:cs="Angsana New"/>
                <w:sz w:val="20"/>
                <w:szCs w:val="20"/>
                <w:lang w:bidi="th-TH"/>
              </w:rPr>
              <w:t>UNDP</w:t>
            </w:r>
          </w:p>
        </w:tc>
        <w:tc>
          <w:tcPr>
            <w:tcW w:w="1126" w:type="pct"/>
          </w:tcPr>
          <w:p w:rsidR="00534F6A" w:rsidRPr="0077400A" w:rsidRDefault="00534F6A" w:rsidP="00AD0C9A">
            <w:pPr>
              <w:jc w:val="both"/>
              <w:rPr>
                <w:sz w:val="20"/>
                <w:szCs w:val="20"/>
              </w:rPr>
            </w:pPr>
            <w:r w:rsidRPr="0077400A">
              <w:rPr>
                <w:sz w:val="20"/>
                <w:szCs w:val="20"/>
              </w:rPr>
              <w:t>GEF Agency Project ID:</w:t>
            </w:r>
          </w:p>
        </w:tc>
        <w:tc>
          <w:tcPr>
            <w:tcW w:w="869" w:type="pct"/>
          </w:tcPr>
          <w:p w:rsidR="00534F6A" w:rsidRPr="0077400A" w:rsidRDefault="008846F1" w:rsidP="00AD0C9A">
            <w:pPr>
              <w:jc w:val="both"/>
              <w:rPr>
                <w:sz w:val="20"/>
                <w:szCs w:val="20"/>
              </w:rPr>
            </w:pPr>
            <w:r>
              <w:rPr>
                <w:sz w:val="20"/>
                <w:szCs w:val="20"/>
              </w:rPr>
              <w:t>5317</w:t>
            </w:r>
          </w:p>
        </w:tc>
      </w:tr>
      <w:tr w:rsidR="00BA5CBE" w:rsidRPr="0077400A" w:rsidTr="00D947F2">
        <w:tc>
          <w:tcPr>
            <w:tcW w:w="1302" w:type="pct"/>
          </w:tcPr>
          <w:p w:rsidR="00534F6A" w:rsidRPr="0077400A" w:rsidRDefault="00534F6A" w:rsidP="00AD0C9A">
            <w:pPr>
              <w:jc w:val="both"/>
              <w:rPr>
                <w:sz w:val="20"/>
                <w:szCs w:val="20"/>
              </w:rPr>
            </w:pPr>
            <w:r w:rsidRPr="0077400A">
              <w:rPr>
                <w:sz w:val="20"/>
                <w:szCs w:val="20"/>
              </w:rPr>
              <w:t>Other Executing Partner(s):</w:t>
            </w:r>
          </w:p>
        </w:tc>
        <w:tc>
          <w:tcPr>
            <w:tcW w:w="1703" w:type="pct"/>
          </w:tcPr>
          <w:p w:rsidR="00534F6A" w:rsidRPr="0077400A" w:rsidRDefault="008962F8" w:rsidP="006E39CB">
            <w:pPr>
              <w:jc w:val="both"/>
              <w:rPr>
                <w:sz w:val="20"/>
                <w:szCs w:val="20"/>
              </w:rPr>
            </w:pPr>
            <w:r w:rsidRPr="0077400A">
              <w:rPr>
                <w:sz w:val="20"/>
                <w:szCs w:val="20"/>
              </w:rPr>
              <w:t>The Cook Islands</w:t>
            </w:r>
            <w:r w:rsidR="000E064D" w:rsidRPr="0077400A">
              <w:rPr>
                <w:sz w:val="20"/>
                <w:szCs w:val="20"/>
              </w:rPr>
              <w:t xml:space="preserve"> </w:t>
            </w:r>
            <w:r w:rsidR="0080263E" w:rsidRPr="0077400A">
              <w:rPr>
                <w:sz w:val="20"/>
                <w:szCs w:val="20"/>
              </w:rPr>
              <w:t xml:space="preserve">National </w:t>
            </w:r>
            <w:r w:rsidRPr="0077400A">
              <w:rPr>
                <w:sz w:val="20"/>
                <w:szCs w:val="20"/>
              </w:rPr>
              <w:t>Environment</w:t>
            </w:r>
            <w:r w:rsidR="0080263E" w:rsidRPr="0077400A">
              <w:rPr>
                <w:sz w:val="20"/>
                <w:szCs w:val="20"/>
              </w:rPr>
              <w:t xml:space="preserve"> Service</w:t>
            </w:r>
            <w:r w:rsidRPr="0077400A">
              <w:rPr>
                <w:sz w:val="20"/>
                <w:szCs w:val="20"/>
              </w:rPr>
              <w:t>, Biodiversity Unit and Island Futures Division</w:t>
            </w:r>
          </w:p>
        </w:tc>
        <w:tc>
          <w:tcPr>
            <w:tcW w:w="1126" w:type="pct"/>
          </w:tcPr>
          <w:p w:rsidR="00303082" w:rsidRPr="0077400A" w:rsidRDefault="00534F6A" w:rsidP="00AD0C9A">
            <w:pPr>
              <w:jc w:val="both"/>
              <w:rPr>
                <w:sz w:val="20"/>
                <w:szCs w:val="20"/>
              </w:rPr>
            </w:pPr>
            <w:r w:rsidRPr="0077400A">
              <w:rPr>
                <w:sz w:val="20"/>
                <w:szCs w:val="20"/>
              </w:rPr>
              <w:t>Submission Date:</w:t>
            </w:r>
          </w:p>
          <w:p w:rsidR="00303082" w:rsidRPr="0077400A" w:rsidRDefault="00303082" w:rsidP="00AD0C9A">
            <w:pPr>
              <w:jc w:val="both"/>
              <w:rPr>
                <w:sz w:val="20"/>
                <w:szCs w:val="20"/>
              </w:rPr>
            </w:pPr>
          </w:p>
        </w:tc>
        <w:tc>
          <w:tcPr>
            <w:tcW w:w="869" w:type="pct"/>
          </w:tcPr>
          <w:p w:rsidR="00534F6A" w:rsidRPr="0077400A" w:rsidRDefault="00E25F4C" w:rsidP="00AD0C9A">
            <w:pPr>
              <w:jc w:val="both"/>
              <w:rPr>
                <w:sz w:val="20"/>
                <w:szCs w:val="20"/>
              </w:rPr>
            </w:pPr>
            <w:r w:rsidRPr="00A42634">
              <w:rPr>
                <w:sz w:val="20"/>
                <w:szCs w:val="20"/>
              </w:rPr>
              <w:t>9 October 2013</w:t>
            </w:r>
          </w:p>
        </w:tc>
      </w:tr>
      <w:tr w:rsidR="00BA5CBE" w:rsidRPr="0077400A" w:rsidTr="00D947F2">
        <w:tc>
          <w:tcPr>
            <w:tcW w:w="1302" w:type="pct"/>
          </w:tcPr>
          <w:p w:rsidR="00534F6A" w:rsidRPr="0077400A" w:rsidRDefault="00534F6A" w:rsidP="00AD0C9A">
            <w:pPr>
              <w:jc w:val="both"/>
              <w:rPr>
                <w:sz w:val="20"/>
                <w:szCs w:val="20"/>
              </w:rPr>
            </w:pPr>
            <w:r w:rsidRPr="0077400A">
              <w:rPr>
                <w:sz w:val="20"/>
                <w:szCs w:val="20"/>
              </w:rPr>
              <w:t>GEF Focal Area (s):</w:t>
            </w:r>
          </w:p>
        </w:tc>
        <w:tc>
          <w:tcPr>
            <w:tcW w:w="1703" w:type="pct"/>
          </w:tcPr>
          <w:p w:rsidR="00534F6A" w:rsidRPr="0077400A" w:rsidRDefault="000E064D" w:rsidP="00AD0C9A">
            <w:pPr>
              <w:jc w:val="both"/>
              <w:rPr>
                <w:sz w:val="20"/>
                <w:szCs w:val="20"/>
              </w:rPr>
            </w:pPr>
            <w:r w:rsidRPr="0077400A">
              <w:rPr>
                <w:sz w:val="20"/>
                <w:szCs w:val="20"/>
              </w:rPr>
              <w:t>Biodiversity</w:t>
            </w:r>
          </w:p>
        </w:tc>
        <w:tc>
          <w:tcPr>
            <w:tcW w:w="1126" w:type="pct"/>
          </w:tcPr>
          <w:p w:rsidR="00534F6A" w:rsidRPr="0077400A" w:rsidRDefault="00534F6A" w:rsidP="00AD0C9A">
            <w:pPr>
              <w:jc w:val="both"/>
              <w:rPr>
                <w:sz w:val="20"/>
                <w:szCs w:val="20"/>
              </w:rPr>
            </w:pPr>
            <w:r w:rsidRPr="0077400A">
              <w:rPr>
                <w:sz w:val="20"/>
                <w:szCs w:val="20"/>
              </w:rPr>
              <w:t>Project Duration (Months)</w:t>
            </w:r>
          </w:p>
        </w:tc>
        <w:tc>
          <w:tcPr>
            <w:tcW w:w="869" w:type="pct"/>
          </w:tcPr>
          <w:p w:rsidR="00534F6A" w:rsidRPr="0077400A" w:rsidRDefault="008846F1" w:rsidP="00AD0C9A">
            <w:pPr>
              <w:jc w:val="both"/>
              <w:rPr>
                <w:sz w:val="20"/>
                <w:szCs w:val="20"/>
              </w:rPr>
            </w:pPr>
            <w:r>
              <w:rPr>
                <w:sz w:val="20"/>
                <w:szCs w:val="20"/>
              </w:rPr>
              <w:t>48</w:t>
            </w:r>
          </w:p>
        </w:tc>
      </w:tr>
      <w:tr w:rsidR="00BA5CBE" w:rsidRPr="00E00901" w:rsidTr="00D947F2">
        <w:tc>
          <w:tcPr>
            <w:tcW w:w="1302" w:type="pct"/>
          </w:tcPr>
          <w:p w:rsidR="0064621B" w:rsidRPr="0077400A" w:rsidRDefault="0064621B" w:rsidP="00AD0C9A">
            <w:pPr>
              <w:jc w:val="both"/>
              <w:rPr>
                <w:sz w:val="20"/>
                <w:szCs w:val="20"/>
              </w:rPr>
            </w:pPr>
            <w:r w:rsidRPr="0077400A">
              <w:rPr>
                <w:sz w:val="20"/>
                <w:szCs w:val="20"/>
              </w:rPr>
              <w:t>Name of parent program (if applicable):</w:t>
            </w:r>
          </w:p>
          <w:p w:rsidR="00AA1908" w:rsidRPr="00E00901" w:rsidRDefault="00AA1908" w:rsidP="00AD0C9A">
            <w:pPr>
              <w:jc w:val="both"/>
              <w:rPr>
                <w:sz w:val="20"/>
                <w:szCs w:val="20"/>
              </w:rPr>
            </w:pPr>
            <w:r w:rsidRPr="0077400A">
              <w:rPr>
                <w:sz w:val="20"/>
                <w:szCs w:val="20"/>
              </w:rPr>
              <w:t>For SFM</w:t>
            </w:r>
            <w:r w:rsidR="008F1975" w:rsidRPr="0077400A">
              <w:rPr>
                <w:sz w:val="20"/>
                <w:szCs w:val="20"/>
              </w:rPr>
              <w:t>/REDD+</w:t>
            </w:r>
            <w:r w:rsidRPr="0077400A">
              <w:rPr>
                <w:sz w:val="20"/>
                <w:szCs w:val="20"/>
              </w:rPr>
              <w:t xml:space="preserve"> </w:t>
            </w:r>
            <w:bookmarkStart w:id="2" w:name="CheckSFM"/>
            <w:r w:rsidR="001F72DC" w:rsidRPr="00E00901">
              <w:rPr>
                <w:sz w:val="20"/>
                <w:szCs w:val="20"/>
              </w:rPr>
              <w:fldChar w:fldCharType="begin">
                <w:ffData>
                  <w:name w:val="CheckSFM"/>
                  <w:enabled/>
                  <w:calcOnExit w:val="0"/>
                  <w:checkBox>
                    <w:sizeAuto/>
                    <w:default w:val="0"/>
                  </w:checkBox>
                </w:ffData>
              </w:fldChar>
            </w:r>
            <w:r w:rsidR="006E5B4E" w:rsidRPr="0077400A">
              <w:rPr>
                <w:sz w:val="20"/>
                <w:szCs w:val="20"/>
              </w:rPr>
              <w:instrText xml:space="preserve"> FORMCHECKBOX </w:instrText>
            </w:r>
            <w:r w:rsidR="00140849">
              <w:rPr>
                <w:sz w:val="20"/>
                <w:szCs w:val="20"/>
              </w:rPr>
            </w:r>
            <w:r w:rsidR="00140849">
              <w:rPr>
                <w:sz w:val="20"/>
                <w:szCs w:val="20"/>
              </w:rPr>
              <w:fldChar w:fldCharType="separate"/>
            </w:r>
            <w:r w:rsidR="001F72DC" w:rsidRPr="00E00901">
              <w:rPr>
                <w:sz w:val="20"/>
                <w:szCs w:val="20"/>
              </w:rPr>
              <w:fldChar w:fldCharType="end"/>
            </w:r>
            <w:bookmarkEnd w:id="2"/>
          </w:p>
        </w:tc>
        <w:tc>
          <w:tcPr>
            <w:tcW w:w="1703" w:type="pct"/>
          </w:tcPr>
          <w:p w:rsidR="0064621B" w:rsidRPr="00E00901" w:rsidRDefault="000C724F" w:rsidP="00AD0C9A">
            <w:pPr>
              <w:jc w:val="both"/>
              <w:rPr>
                <w:sz w:val="20"/>
                <w:szCs w:val="20"/>
              </w:rPr>
            </w:pPr>
            <w:r>
              <w:rPr>
                <w:sz w:val="20"/>
                <w:szCs w:val="20"/>
              </w:rPr>
              <w:t>N/A</w:t>
            </w:r>
          </w:p>
        </w:tc>
        <w:tc>
          <w:tcPr>
            <w:tcW w:w="1126" w:type="pct"/>
          </w:tcPr>
          <w:p w:rsidR="0064621B" w:rsidRPr="00A42634" w:rsidRDefault="0064621B" w:rsidP="00AD0C9A">
            <w:pPr>
              <w:jc w:val="both"/>
              <w:rPr>
                <w:sz w:val="20"/>
                <w:szCs w:val="20"/>
              </w:rPr>
            </w:pPr>
            <w:r w:rsidRPr="00A42634">
              <w:rPr>
                <w:sz w:val="20"/>
                <w:szCs w:val="20"/>
              </w:rPr>
              <w:t>Agency Fee</w:t>
            </w:r>
            <w:r w:rsidR="003F256C" w:rsidRPr="00A42634">
              <w:rPr>
                <w:sz w:val="20"/>
                <w:szCs w:val="20"/>
              </w:rPr>
              <w:t xml:space="preserve"> ($)</w:t>
            </w:r>
            <w:r w:rsidRPr="00A42634">
              <w:rPr>
                <w:sz w:val="20"/>
                <w:szCs w:val="20"/>
              </w:rPr>
              <w:t>:</w:t>
            </w:r>
          </w:p>
        </w:tc>
        <w:tc>
          <w:tcPr>
            <w:tcW w:w="869" w:type="pct"/>
          </w:tcPr>
          <w:p w:rsidR="0064621B" w:rsidRPr="00A42634" w:rsidRDefault="00D020BF" w:rsidP="00AD0C9A">
            <w:pPr>
              <w:jc w:val="both"/>
              <w:rPr>
                <w:sz w:val="20"/>
                <w:szCs w:val="20"/>
              </w:rPr>
            </w:pPr>
            <w:r w:rsidRPr="00A42634">
              <w:rPr>
                <w:sz w:val="20"/>
                <w:szCs w:val="20"/>
              </w:rPr>
              <w:t>92,150</w:t>
            </w:r>
          </w:p>
        </w:tc>
      </w:tr>
    </w:tbl>
    <w:p w:rsidR="00276471" w:rsidRPr="0001061D" w:rsidRDefault="00107376" w:rsidP="00D947F2">
      <w:pPr>
        <w:pStyle w:val="Footer"/>
        <w:numPr>
          <w:ilvl w:val="0"/>
          <w:numId w:val="1"/>
        </w:numPr>
        <w:tabs>
          <w:tab w:val="clear" w:pos="720"/>
          <w:tab w:val="clear" w:pos="4320"/>
          <w:tab w:val="clear" w:pos="8640"/>
          <w:tab w:val="left" w:pos="-360"/>
          <w:tab w:val="left" w:pos="270"/>
        </w:tabs>
        <w:spacing w:before="240" w:after="80"/>
        <w:ind w:left="0" w:firstLine="0"/>
        <w:jc w:val="both"/>
        <w:rPr>
          <w:b/>
          <w:smallCaps/>
          <w:sz w:val="22"/>
          <w:szCs w:val="22"/>
        </w:rPr>
      </w:pPr>
      <w:r w:rsidRPr="0001061D">
        <w:rPr>
          <w:b/>
          <w:smallCaps/>
          <w:sz w:val="22"/>
          <w:szCs w:val="22"/>
        </w:rPr>
        <w:t xml:space="preserve"> </w:t>
      </w:r>
      <w:r w:rsidR="00611BE7" w:rsidRPr="0001061D">
        <w:rPr>
          <w:b/>
          <w:smallCaps/>
          <w:sz w:val="22"/>
          <w:szCs w:val="22"/>
        </w:rPr>
        <w:t xml:space="preserve">Indicative </w:t>
      </w:r>
      <w:r w:rsidR="00D337D1" w:rsidRPr="0001061D">
        <w:rPr>
          <w:b/>
          <w:smallCaps/>
          <w:sz w:val="22"/>
          <w:szCs w:val="22"/>
        </w:rPr>
        <w:t xml:space="preserve">Focal Area </w:t>
      </w:r>
      <w:r w:rsidRPr="0001061D">
        <w:rPr>
          <w:b/>
          <w:smallCaps/>
          <w:sz w:val="22"/>
          <w:szCs w:val="22"/>
        </w:rPr>
        <w:t xml:space="preserve"> </w:t>
      </w:r>
      <w:r w:rsidR="002A2250" w:rsidRPr="0001061D">
        <w:rPr>
          <w:b/>
          <w:smallCaps/>
          <w:sz w:val="22"/>
          <w:szCs w:val="22"/>
        </w:rPr>
        <w:t xml:space="preserve">strategy </w:t>
      </w:r>
      <w:r w:rsidRPr="0001061D">
        <w:rPr>
          <w:b/>
          <w:smallCaps/>
          <w:sz w:val="22"/>
          <w:szCs w:val="22"/>
        </w:rPr>
        <w:t>Framework: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38"/>
        <w:gridCol w:w="1494"/>
        <w:gridCol w:w="2327"/>
        <w:gridCol w:w="2457"/>
      </w:tblGrid>
      <w:tr w:rsidR="00BA5CBE" w:rsidRPr="00E00901" w:rsidTr="00D947F2">
        <w:trPr>
          <w:trHeight w:val="260"/>
          <w:jc w:val="center"/>
        </w:trPr>
        <w:tc>
          <w:tcPr>
            <w:tcW w:w="2151" w:type="pct"/>
            <w:shd w:val="clear" w:color="auto" w:fill="FFFFFF"/>
          </w:tcPr>
          <w:p w:rsidR="00B96B83" w:rsidRPr="00E00901" w:rsidRDefault="00B96B83" w:rsidP="00AD0C9A">
            <w:pPr>
              <w:pStyle w:val="Heading3"/>
              <w:ind w:left="72"/>
              <w:jc w:val="both"/>
              <w:rPr>
                <w:bCs w:val="0"/>
                <w:iCs/>
                <w:sz w:val="20"/>
                <w:szCs w:val="20"/>
              </w:rPr>
            </w:pPr>
            <w:r w:rsidRPr="00E00901">
              <w:rPr>
                <w:bCs w:val="0"/>
                <w:iCs/>
                <w:sz w:val="20"/>
                <w:szCs w:val="20"/>
              </w:rPr>
              <w:t>Focal Area Objectives</w:t>
            </w:r>
          </w:p>
        </w:tc>
        <w:tc>
          <w:tcPr>
            <w:tcW w:w="678" w:type="pct"/>
            <w:shd w:val="clear" w:color="auto" w:fill="FFFFFF"/>
          </w:tcPr>
          <w:p w:rsidR="00B96B83" w:rsidRPr="00E00901" w:rsidRDefault="00B96B83" w:rsidP="00AD0C9A">
            <w:pPr>
              <w:pStyle w:val="Heading3"/>
              <w:jc w:val="both"/>
              <w:rPr>
                <w:bCs w:val="0"/>
                <w:iCs/>
                <w:sz w:val="20"/>
                <w:szCs w:val="20"/>
              </w:rPr>
            </w:pPr>
            <w:r w:rsidRPr="00E00901">
              <w:rPr>
                <w:bCs w:val="0"/>
                <w:iCs/>
                <w:sz w:val="20"/>
                <w:szCs w:val="20"/>
              </w:rPr>
              <w:t>Trust Fund</w:t>
            </w:r>
          </w:p>
        </w:tc>
        <w:tc>
          <w:tcPr>
            <w:tcW w:w="1056" w:type="pct"/>
            <w:shd w:val="clear" w:color="auto" w:fill="FFFFFF"/>
          </w:tcPr>
          <w:p w:rsidR="00B96B83" w:rsidRPr="00E00901" w:rsidRDefault="00B96B83" w:rsidP="00D947F2">
            <w:pPr>
              <w:pStyle w:val="Heading3"/>
              <w:jc w:val="both"/>
              <w:rPr>
                <w:bCs w:val="0"/>
                <w:iCs/>
                <w:sz w:val="20"/>
                <w:szCs w:val="20"/>
              </w:rPr>
            </w:pPr>
            <w:r w:rsidRPr="00E00901">
              <w:rPr>
                <w:bCs w:val="0"/>
                <w:iCs/>
                <w:sz w:val="20"/>
                <w:szCs w:val="20"/>
              </w:rPr>
              <w:t>Indicative Grant Amount</w:t>
            </w:r>
            <w:r w:rsidR="00D947F2">
              <w:rPr>
                <w:bCs w:val="0"/>
                <w:iCs/>
                <w:sz w:val="20"/>
                <w:szCs w:val="20"/>
              </w:rPr>
              <w:t xml:space="preserve"> </w:t>
            </w:r>
            <w:r w:rsidRPr="00E00901">
              <w:rPr>
                <w:bCs w:val="0"/>
                <w:iCs/>
                <w:sz w:val="20"/>
                <w:szCs w:val="20"/>
              </w:rPr>
              <w:t xml:space="preserve">($) </w:t>
            </w:r>
          </w:p>
        </w:tc>
        <w:tc>
          <w:tcPr>
            <w:tcW w:w="1115" w:type="pct"/>
            <w:shd w:val="clear" w:color="auto" w:fill="FFFFFF"/>
          </w:tcPr>
          <w:p w:rsidR="00B96B83" w:rsidRPr="00E00901" w:rsidRDefault="005F6DCB" w:rsidP="00D947F2">
            <w:pPr>
              <w:pStyle w:val="Heading3"/>
              <w:jc w:val="both"/>
              <w:rPr>
                <w:bCs w:val="0"/>
                <w:iCs/>
                <w:sz w:val="20"/>
                <w:szCs w:val="20"/>
              </w:rPr>
            </w:pPr>
            <w:r w:rsidRPr="00E00901">
              <w:rPr>
                <w:bCs w:val="0"/>
                <w:iCs/>
                <w:sz w:val="20"/>
                <w:szCs w:val="20"/>
              </w:rPr>
              <w:t xml:space="preserve">Indicative </w:t>
            </w:r>
            <w:r w:rsidR="00B96B83" w:rsidRPr="00E00901">
              <w:rPr>
                <w:bCs w:val="0"/>
                <w:iCs/>
                <w:sz w:val="20"/>
                <w:szCs w:val="20"/>
              </w:rPr>
              <w:t>Co- Financing</w:t>
            </w:r>
            <w:r w:rsidR="00D947F2">
              <w:rPr>
                <w:bCs w:val="0"/>
                <w:iCs/>
                <w:sz w:val="20"/>
                <w:szCs w:val="20"/>
              </w:rPr>
              <w:t xml:space="preserve"> </w:t>
            </w:r>
            <w:r w:rsidR="00B96B83" w:rsidRPr="00E00901">
              <w:rPr>
                <w:bCs w:val="0"/>
                <w:iCs/>
                <w:sz w:val="20"/>
                <w:szCs w:val="20"/>
              </w:rPr>
              <w:t xml:space="preserve">($) </w:t>
            </w:r>
          </w:p>
        </w:tc>
      </w:tr>
      <w:tr w:rsidR="00C0624C" w:rsidRPr="00E00901" w:rsidTr="00D947F2">
        <w:trPr>
          <w:jc w:val="center"/>
        </w:trPr>
        <w:tc>
          <w:tcPr>
            <w:tcW w:w="2151" w:type="pct"/>
            <w:shd w:val="clear" w:color="auto" w:fill="FFFFFF"/>
          </w:tcPr>
          <w:p w:rsidR="00C0624C" w:rsidRPr="00E00901" w:rsidRDefault="00C0624C" w:rsidP="0059191A">
            <w:pPr>
              <w:rPr>
                <w:sz w:val="20"/>
                <w:szCs w:val="20"/>
              </w:rPr>
            </w:pPr>
            <w:r w:rsidRPr="00E00901">
              <w:rPr>
                <w:sz w:val="20"/>
                <w:szCs w:val="20"/>
              </w:rPr>
              <w:t>BD-4: Build Capacity on Access to Genetic Resources and Benefit Sharing</w:t>
            </w:r>
          </w:p>
        </w:tc>
        <w:tc>
          <w:tcPr>
            <w:tcW w:w="678" w:type="pct"/>
            <w:shd w:val="clear" w:color="auto" w:fill="FFFFFF"/>
          </w:tcPr>
          <w:p w:rsidR="00C0624C" w:rsidRPr="00E00901" w:rsidRDefault="00C0624C" w:rsidP="0059191A">
            <w:pPr>
              <w:rPr>
                <w:sz w:val="20"/>
                <w:szCs w:val="20"/>
              </w:rPr>
            </w:pPr>
            <w:r w:rsidRPr="00E00901">
              <w:rPr>
                <w:sz w:val="20"/>
                <w:szCs w:val="20"/>
              </w:rPr>
              <w:t>NPIF</w:t>
            </w:r>
          </w:p>
        </w:tc>
        <w:tc>
          <w:tcPr>
            <w:tcW w:w="1056" w:type="pct"/>
            <w:shd w:val="clear" w:color="auto" w:fill="FFFFFF"/>
          </w:tcPr>
          <w:p w:rsidR="00C0624C" w:rsidRPr="006D1543" w:rsidRDefault="00D020BF" w:rsidP="000C724F">
            <w:pPr>
              <w:jc w:val="right"/>
              <w:rPr>
                <w:sz w:val="20"/>
                <w:szCs w:val="20"/>
              </w:rPr>
            </w:pPr>
            <w:r>
              <w:rPr>
                <w:sz w:val="20"/>
                <w:szCs w:val="20"/>
              </w:rPr>
              <w:t>970,000</w:t>
            </w:r>
          </w:p>
        </w:tc>
        <w:tc>
          <w:tcPr>
            <w:tcW w:w="1115" w:type="pct"/>
            <w:shd w:val="clear" w:color="auto" w:fill="FFFFFF"/>
          </w:tcPr>
          <w:p w:rsidR="00C0624C" w:rsidRPr="006D1543" w:rsidRDefault="0061447F" w:rsidP="000E064D">
            <w:pPr>
              <w:jc w:val="right"/>
              <w:rPr>
                <w:sz w:val="20"/>
                <w:szCs w:val="20"/>
              </w:rPr>
            </w:pPr>
            <w:r>
              <w:rPr>
                <w:sz w:val="20"/>
                <w:szCs w:val="20"/>
              </w:rPr>
              <w:t>1,779,535</w:t>
            </w:r>
          </w:p>
        </w:tc>
      </w:tr>
      <w:tr w:rsidR="00BA5CBE" w:rsidRPr="00E00901" w:rsidTr="00D947F2">
        <w:trPr>
          <w:jc w:val="center"/>
        </w:trPr>
        <w:tc>
          <w:tcPr>
            <w:tcW w:w="2151" w:type="pct"/>
            <w:tcBorders>
              <w:bottom w:val="single" w:sz="4" w:space="0" w:color="auto"/>
            </w:tcBorders>
            <w:shd w:val="clear" w:color="auto" w:fill="FFFFFF"/>
          </w:tcPr>
          <w:p w:rsidR="00B96B83" w:rsidRPr="00E00901" w:rsidRDefault="00E7482D" w:rsidP="00AD0C9A">
            <w:pPr>
              <w:jc w:val="both"/>
              <w:rPr>
                <w:sz w:val="20"/>
                <w:szCs w:val="20"/>
              </w:rPr>
            </w:pPr>
            <w:r w:rsidRPr="00E00901">
              <w:rPr>
                <w:sz w:val="20"/>
                <w:szCs w:val="20"/>
              </w:rPr>
              <w:t>Total Project Cost</w:t>
            </w:r>
          </w:p>
        </w:tc>
        <w:tc>
          <w:tcPr>
            <w:tcW w:w="678" w:type="pct"/>
            <w:shd w:val="clear" w:color="auto" w:fill="FFFFFF"/>
          </w:tcPr>
          <w:p w:rsidR="00B96B83" w:rsidRPr="00E00901" w:rsidRDefault="00B96B83" w:rsidP="00C0624C">
            <w:pPr>
              <w:jc w:val="both"/>
              <w:rPr>
                <w:sz w:val="20"/>
                <w:szCs w:val="20"/>
              </w:rPr>
            </w:pPr>
          </w:p>
        </w:tc>
        <w:tc>
          <w:tcPr>
            <w:tcW w:w="1056" w:type="pct"/>
            <w:tcBorders>
              <w:bottom w:val="single" w:sz="4" w:space="0" w:color="auto"/>
            </w:tcBorders>
            <w:shd w:val="clear" w:color="auto" w:fill="FFFFFF"/>
          </w:tcPr>
          <w:p w:rsidR="00B96B83" w:rsidRPr="006D1543" w:rsidRDefault="00D020BF" w:rsidP="000E064D">
            <w:pPr>
              <w:jc w:val="right"/>
              <w:rPr>
                <w:sz w:val="20"/>
                <w:szCs w:val="20"/>
              </w:rPr>
            </w:pPr>
            <w:r>
              <w:rPr>
                <w:sz w:val="20"/>
                <w:szCs w:val="20"/>
              </w:rPr>
              <w:t>970,000</w:t>
            </w:r>
          </w:p>
        </w:tc>
        <w:tc>
          <w:tcPr>
            <w:tcW w:w="1115" w:type="pct"/>
            <w:tcBorders>
              <w:bottom w:val="single" w:sz="4" w:space="0" w:color="auto"/>
            </w:tcBorders>
            <w:shd w:val="clear" w:color="auto" w:fill="FFFFFF"/>
          </w:tcPr>
          <w:p w:rsidR="00B96B83" w:rsidRPr="006D1543" w:rsidRDefault="0061447F" w:rsidP="000E064D">
            <w:pPr>
              <w:jc w:val="right"/>
              <w:rPr>
                <w:sz w:val="20"/>
                <w:szCs w:val="20"/>
              </w:rPr>
            </w:pPr>
            <w:r>
              <w:rPr>
                <w:sz w:val="20"/>
                <w:szCs w:val="20"/>
              </w:rPr>
              <w:t>1,779,535</w:t>
            </w:r>
          </w:p>
        </w:tc>
      </w:tr>
    </w:tbl>
    <w:p w:rsidR="00276471" w:rsidRPr="0001061D" w:rsidRDefault="00E7482D" w:rsidP="00D947F2">
      <w:pPr>
        <w:pStyle w:val="Footer"/>
        <w:numPr>
          <w:ilvl w:val="0"/>
          <w:numId w:val="1"/>
        </w:numPr>
        <w:tabs>
          <w:tab w:val="clear" w:pos="720"/>
          <w:tab w:val="clear" w:pos="4320"/>
          <w:tab w:val="clear" w:pos="8640"/>
          <w:tab w:val="num" w:pos="-360"/>
          <w:tab w:val="left" w:pos="270"/>
        </w:tabs>
        <w:spacing w:before="240" w:after="80"/>
        <w:ind w:left="0" w:firstLine="0"/>
        <w:jc w:val="both"/>
        <w:rPr>
          <w:b/>
          <w:smallCaps/>
          <w:sz w:val="20"/>
          <w:szCs w:val="20"/>
        </w:rPr>
      </w:pPr>
      <w:r w:rsidRPr="0001061D">
        <w:rPr>
          <w:b/>
          <w:smallCaps/>
          <w:sz w:val="20"/>
          <w:szCs w:val="20"/>
        </w:rPr>
        <w:t xml:space="preserve">Indicative </w:t>
      </w:r>
      <w:r w:rsidR="00F52D8A" w:rsidRPr="0001061D">
        <w:rPr>
          <w:b/>
          <w:smallCaps/>
          <w:sz w:val="20"/>
          <w:szCs w:val="20"/>
        </w:rPr>
        <w:t>Project Framework</w:t>
      </w:r>
    </w:p>
    <w:p w:rsidR="0083215E" w:rsidRPr="0001061D" w:rsidRDefault="0083215E" w:rsidP="00AD0C9A">
      <w:pPr>
        <w:ind w:right="-547"/>
        <w:jc w:val="both"/>
        <w:rPr>
          <w:b/>
          <w:sz w:val="22"/>
          <w:szCs w:val="22"/>
        </w:rPr>
      </w:pPr>
    </w:p>
    <w:tbl>
      <w:tblPr>
        <w:tblW w:w="5000" w:type="pct"/>
        <w:tblBorders>
          <w:top w:val="single" w:sz="8" w:space="0" w:color="auto"/>
          <w:left w:val="single" w:sz="8" w:space="0" w:color="auto"/>
          <w:bottom w:val="double" w:sz="4"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468"/>
        <w:gridCol w:w="540"/>
        <w:gridCol w:w="3236"/>
        <w:gridCol w:w="3241"/>
        <w:gridCol w:w="721"/>
        <w:gridCol w:w="900"/>
        <w:gridCol w:w="924"/>
      </w:tblGrid>
      <w:tr w:rsidR="00BA5CBE" w:rsidRPr="00E00901" w:rsidTr="000C724F">
        <w:trPr>
          <w:trHeight w:val="485"/>
        </w:trPr>
        <w:tc>
          <w:tcPr>
            <w:tcW w:w="5000" w:type="pct"/>
            <w:gridSpan w:val="7"/>
            <w:shd w:val="clear" w:color="auto" w:fill="FFFFFF"/>
            <w:tcMar>
              <w:top w:w="0" w:type="dxa"/>
              <w:left w:w="115" w:type="dxa"/>
              <w:bottom w:w="0" w:type="dxa"/>
              <w:right w:w="115" w:type="dxa"/>
            </w:tcMar>
            <w:vAlign w:val="center"/>
          </w:tcPr>
          <w:p w:rsidR="00103C52" w:rsidRPr="00E00901" w:rsidRDefault="00103C52" w:rsidP="006E39CB">
            <w:pPr>
              <w:jc w:val="both"/>
              <w:rPr>
                <w:rFonts w:eastAsia="Calibri"/>
                <w:b/>
                <w:bCs/>
                <w:sz w:val="20"/>
                <w:szCs w:val="20"/>
              </w:rPr>
            </w:pPr>
            <w:r w:rsidRPr="00E00901">
              <w:rPr>
                <w:b/>
                <w:bCs/>
                <w:sz w:val="20"/>
                <w:szCs w:val="20"/>
              </w:rPr>
              <w:t>Project Objective:</w:t>
            </w:r>
            <w:r w:rsidR="00FE30ED" w:rsidRPr="00E00901">
              <w:rPr>
                <w:sz w:val="20"/>
                <w:szCs w:val="20"/>
              </w:rPr>
              <w:t xml:space="preserve"> </w:t>
            </w:r>
            <w:r w:rsidR="006E39CB">
              <w:rPr>
                <w:sz w:val="20"/>
                <w:szCs w:val="20"/>
              </w:rPr>
              <w:t>To develop and implement a national Access and Benefit Sharing (ABS) framework, build national capacities and support an ABS Agreement based on Traditional Knowledge and Public-Private Partnership</w:t>
            </w:r>
          </w:p>
        </w:tc>
      </w:tr>
      <w:tr w:rsidR="002B4971" w:rsidRPr="00E00901" w:rsidTr="002B4971">
        <w:trPr>
          <w:trHeight w:val="665"/>
        </w:trPr>
        <w:tc>
          <w:tcPr>
            <w:tcW w:w="665" w:type="pct"/>
            <w:shd w:val="clear" w:color="auto" w:fill="FFFFFF"/>
            <w:tcMar>
              <w:top w:w="0" w:type="dxa"/>
              <w:left w:w="115" w:type="dxa"/>
              <w:bottom w:w="0" w:type="dxa"/>
              <w:right w:w="115" w:type="dxa"/>
            </w:tcMar>
            <w:vAlign w:val="center"/>
          </w:tcPr>
          <w:p w:rsidR="00103C52" w:rsidRPr="00E00901" w:rsidRDefault="00103C52" w:rsidP="00AD0C9A">
            <w:pPr>
              <w:jc w:val="both"/>
              <w:rPr>
                <w:rFonts w:eastAsia="Calibri"/>
                <w:b/>
                <w:bCs/>
                <w:sz w:val="20"/>
                <w:szCs w:val="20"/>
              </w:rPr>
            </w:pPr>
            <w:r w:rsidRPr="00E00901">
              <w:rPr>
                <w:b/>
                <w:bCs/>
                <w:sz w:val="20"/>
                <w:szCs w:val="20"/>
              </w:rPr>
              <w:t>Project Component</w:t>
            </w:r>
          </w:p>
        </w:tc>
        <w:tc>
          <w:tcPr>
            <w:tcW w:w="245" w:type="pct"/>
            <w:shd w:val="clear" w:color="auto" w:fill="FFFFFF"/>
            <w:tcMar>
              <w:top w:w="0" w:type="dxa"/>
              <w:left w:w="115" w:type="dxa"/>
              <w:bottom w:w="0" w:type="dxa"/>
              <w:right w:w="115" w:type="dxa"/>
            </w:tcMar>
            <w:vAlign w:val="center"/>
          </w:tcPr>
          <w:p w:rsidR="00103C52" w:rsidRPr="00E00901" w:rsidRDefault="00103C52" w:rsidP="000C724F">
            <w:pPr>
              <w:jc w:val="both"/>
              <w:rPr>
                <w:rFonts w:eastAsia="Calibri"/>
                <w:b/>
                <w:bCs/>
                <w:sz w:val="20"/>
                <w:szCs w:val="20"/>
              </w:rPr>
            </w:pPr>
            <w:r w:rsidRPr="00E00901">
              <w:rPr>
                <w:b/>
                <w:bCs/>
                <w:sz w:val="20"/>
                <w:szCs w:val="20"/>
              </w:rPr>
              <w:t>TA/INV</w:t>
            </w:r>
          </w:p>
        </w:tc>
        <w:tc>
          <w:tcPr>
            <w:tcW w:w="1467" w:type="pct"/>
            <w:shd w:val="clear" w:color="auto" w:fill="FFFFFF"/>
            <w:tcMar>
              <w:top w:w="0" w:type="dxa"/>
              <w:left w:w="115" w:type="dxa"/>
              <w:bottom w:w="0" w:type="dxa"/>
              <w:right w:w="115" w:type="dxa"/>
            </w:tcMar>
            <w:vAlign w:val="center"/>
          </w:tcPr>
          <w:p w:rsidR="00103C52" w:rsidRPr="00E00901" w:rsidRDefault="00103C52" w:rsidP="00AD0C9A">
            <w:pPr>
              <w:jc w:val="both"/>
              <w:rPr>
                <w:rFonts w:eastAsia="Calibri"/>
                <w:b/>
                <w:bCs/>
                <w:sz w:val="20"/>
                <w:szCs w:val="20"/>
              </w:rPr>
            </w:pPr>
            <w:r w:rsidRPr="00E00901">
              <w:rPr>
                <w:b/>
                <w:bCs/>
                <w:sz w:val="20"/>
                <w:szCs w:val="20"/>
              </w:rPr>
              <w:t>Expected Outcomes</w:t>
            </w:r>
          </w:p>
        </w:tc>
        <w:tc>
          <w:tcPr>
            <w:tcW w:w="1469" w:type="pct"/>
            <w:shd w:val="clear" w:color="auto" w:fill="FFFFFF"/>
            <w:tcMar>
              <w:top w:w="0" w:type="dxa"/>
              <w:left w:w="115" w:type="dxa"/>
              <w:bottom w:w="0" w:type="dxa"/>
              <w:right w:w="115" w:type="dxa"/>
            </w:tcMar>
            <w:vAlign w:val="center"/>
          </w:tcPr>
          <w:p w:rsidR="00103C52" w:rsidRPr="00E00901" w:rsidRDefault="00103C52" w:rsidP="00AD0C9A">
            <w:pPr>
              <w:jc w:val="both"/>
              <w:rPr>
                <w:rFonts w:eastAsia="Calibri"/>
                <w:b/>
                <w:bCs/>
                <w:sz w:val="20"/>
                <w:szCs w:val="20"/>
              </w:rPr>
            </w:pPr>
            <w:r w:rsidRPr="00E00901">
              <w:rPr>
                <w:b/>
                <w:bCs/>
                <w:sz w:val="20"/>
                <w:szCs w:val="20"/>
              </w:rPr>
              <w:t>Expected Outputs</w:t>
            </w:r>
          </w:p>
        </w:tc>
        <w:tc>
          <w:tcPr>
            <w:tcW w:w="327" w:type="pct"/>
            <w:shd w:val="clear" w:color="auto" w:fill="FFFFFF"/>
            <w:tcMar>
              <w:top w:w="0" w:type="dxa"/>
              <w:left w:w="115" w:type="dxa"/>
              <w:bottom w:w="0" w:type="dxa"/>
              <w:right w:w="115" w:type="dxa"/>
            </w:tcMar>
          </w:tcPr>
          <w:p w:rsidR="00103C52" w:rsidRPr="00E00901" w:rsidRDefault="00103C52" w:rsidP="00AD0C9A">
            <w:pPr>
              <w:jc w:val="both"/>
              <w:rPr>
                <w:rFonts w:eastAsia="Calibri"/>
                <w:b/>
                <w:bCs/>
                <w:sz w:val="20"/>
                <w:szCs w:val="20"/>
              </w:rPr>
            </w:pPr>
            <w:r w:rsidRPr="00E00901">
              <w:rPr>
                <w:b/>
                <w:bCs/>
                <w:sz w:val="20"/>
                <w:szCs w:val="20"/>
              </w:rPr>
              <w:t>Trust Fund</w:t>
            </w:r>
          </w:p>
        </w:tc>
        <w:tc>
          <w:tcPr>
            <w:tcW w:w="408" w:type="pct"/>
            <w:shd w:val="clear" w:color="auto" w:fill="FFFFFF"/>
            <w:tcMar>
              <w:top w:w="0" w:type="dxa"/>
              <w:left w:w="115" w:type="dxa"/>
              <w:bottom w:w="0" w:type="dxa"/>
              <w:right w:w="115" w:type="dxa"/>
            </w:tcMar>
          </w:tcPr>
          <w:p w:rsidR="00103C52" w:rsidRPr="00E00901" w:rsidRDefault="00103C52" w:rsidP="00AD0C9A">
            <w:pPr>
              <w:jc w:val="both"/>
              <w:rPr>
                <w:rFonts w:eastAsia="Calibri"/>
                <w:sz w:val="20"/>
                <w:szCs w:val="20"/>
              </w:rPr>
            </w:pPr>
            <w:r w:rsidRPr="00E00901">
              <w:rPr>
                <w:b/>
                <w:bCs/>
                <w:sz w:val="20"/>
                <w:szCs w:val="20"/>
              </w:rPr>
              <w:t xml:space="preserve">Indicative Financing ($) </w:t>
            </w:r>
          </w:p>
        </w:tc>
        <w:tc>
          <w:tcPr>
            <w:tcW w:w="419" w:type="pct"/>
            <w:shd w:val="clear" w:color="auto" w:fill="FFFFFF"/>
            <w:tcMar>
              <w:top w:w="0" w:type="dxa"/>
              <w:left w:w="115" w:type="dxa"/>
              <w:bottom w:w="0" w:type="dxa"/>
              <w:right w:w="115" w:type="dxa"/>
            </w:tcMar>
          </w:tcPr>
          <w:p w:rsidR="00103C52" w:rsidRPr="00E00901" w:rsidRDefault="00103C52" w:rsidP="00AD0C9A">
            <w:pPr>
              <w:jc w:val="both"/>
              <w:rPr>
                <w:rFonts w:eastAsia="Calibri"/>
                <w:b/>
                <w:bCs/>
                <w:sz w:val="20"/>
                <w:szCs w:val="20"/>
              </w:rPr>
            </w:pPr>
            <w:r w:rsidRPr="00E00901">
              <w:rPr>
                <w:b/>
                <w:bCs/>
                <w:sz w:val="20"/>
                <w:szCs w:val="20"/>
              </w:rPr>
              <w:t xml:space="preserve">Indicative </w:t>
            </w:r>
            <w:proofErr w:type="spellStart"/>
            <w:r w:rsidRPr="00E00901">
              <w:rPr>
                <w:b/>
                <w:bCs/>
                <w:sz w:val="20"/>
                <w:szCs w:val="20"/>
              </w:rPr>
              <w:t>Cofinancing</w:t>
            </w:r>
            <w:proofErr w:type="spellEnd"/>
          </w:p>
          <w:p w:rsidR="00103C52" w:rsidRPr="00E00901" w:rsidRDefault="00103C52" w:rsidP="00AD0C9A">
            <w:pPr>
              <w:jc w:val="both"/>
              <w:rPr>
                <w:rFonts w:eastAsia="Calibri"/>
                <w:sz w:val="20"/>
                <w:szCs w:val="20"/>
              </w:rPr>
            </w:pPr>
            <w:r w:rsidRPr="00E00901">
              <w:rPr>
                <w:b/>
                <w:bCs/>
                <w:sz w:val="20"/>
                <w:szCs w:val="20"/>
              </w:rPr>
              <w:t xml:space="preserve">($) </w:t>
            </w:r>
          </w:p>
        </w:tc>
      </w:tr>
      <w:tr w:rsidR="002B4971" w:rsidRPr="000E3876" w:rsidTr="002B4971">
        <w:trPr>
          <w:trHeight w:val="665"/>
        </w:trPr>
        <w:tc>
          <w:tcPr>
            <w:tcW w:w="665" w:type="pct"/>
            <w:shd w:val="clear" w:color="auto" w:fill="FFFFFF"/>
            <w:tcMar>
              <w:top w:w="0" w:type="dxa"/>
              <w:left w:w="115" w:type="dxa"/>
              <w:bottom w:w="0" w:type="dxa"/>
              <w:right w:w="115" w:type="dxa"/>
            </w:tcMar>
          </w:tcPr>
          <w:p w:rsidR="006E39CB" w:rsidRPr="006E39CB" w:rsidRDefault="006E39CB" w:rsidP="006E39CB">
            <w:pPr>
              <w:rPr>
                <w:bCs/>
                <w:sz w:val="20"/>
                <w:szCs w:val="20"/>
              </w:rPr>
            </w:pPr>
            <w:r>
              <w:rPr>
                <w:bCs/>
                <w:sz w:val="20"/>
                <w:szCs w:val="20"/>
              </w:rPr>
              <w:t xml:space="preserve">1 </w:t>
            </w:r>
            <w:r w:rsidRPr="006E39CB">
              <w:rPr>
                <w:bCs/>
                <w:sz w:val="20"/>
                <w:szCs w:val="20"/>
              </w:rPr>
              <w:t xml:space="preserve">Strengthened </w:t>
            </w:r>
            <w:r>
              <w:rPr>
                <w:bCs/>
                <w:sz w:val="20"/>
                <w:szCs w:val="20"/>
              </w:rPr>
              <w:t>National Regulatory and Institutional Framework for ABS</w:t>
            </w:r>
          </w:p>
        </w:tc>
        <w:tc>
          <w:tcPr>
            <w:tcW w:w="245" w:type="pct"/>
            <w:shd w:val="clear" w:color="auto" w:fill="FFFFFF"/>
            <w:tcMar>
              <w:top w:w="0" w:type="dxa"/>
              <w:left w:w="115" w:type="dxa"/>
              <w:bottom w:w="0" w:type="dxa"/>
              <w:right w:w="115" w:type="dxa"/>
            </w:tcMar>
          </w:tcPr>
          <w:p w:rsidR="006E39CB" w:rsidRPr="006E39CB" w:rsidRDefault="006E39CB" w:rsidP="00AD0C9A">
            <w:pPr>
              <w:jc w:val="both"/>
              <w:rPr>
                <w:bCs/>
                <w:sz w:val="20"/>
                <w:szCs w:val="20"/>
              </w:rPr>
            </w:pPr>
            <w:r>
              <w:rPr>
                <w:bCs/>
                <w:sz w:val="20"/>
                <w:szCs w:val="20"/>
              </w:rPr>
              <w:t>TA</w:t>
            </w:r>
          </w:p>
        </w:tc>
        <w:tc>
          <w:tcPr>
            <w:tcW w:w="1467" w:type="pct"/>
            <w:shd w:val="clear" w:color="auto" w:fill="FFFFFF"/>
            <w:tcMar>
              <w:top w:w="0" w:type="dxa"/>
              <w:left w:w="115" w:type="dxa"/>
              <w:bottom w:w="0" w:type="dxa"/>
              <w:right w:w="115" w:type="dxa"/>
            </w:tcMar>
          </w:tcPr>
          <w:p w:rsidR="006E39CB" w:rsidRPr="006E39CB" w:rsidRDefault="006E39CB" w:rsidP="006E39CB">
            <w:pPr>
              <w:spacing w:after="120"/>
              <w:jc w:val="both"/>
              <w:rPr>
                <w:bCs/>
                <w:i/>
                <w:sz w:val="20"/>
                <w:szCs w:val="20"/>
              </w:rPr>
            </w:pPr>
            <w:r w:rsidRPr="006E39CB">
              <w:rPr>
                <w:bCs/>
                <w:i/>
                <w:sz w:val="20"/>
                <w:szCs w:val="20"/>
              </w:rPr>
              <w:t>Nagoya Protocol ratified by Parliament</w:t>
            </w:r>
          </w:p>
          <w:p w:rsidR="006E39CB" w:rsidRDefault="006E39CB" w:rsidP="006E39CB">
            <w:pPr>
              <w:spacing w:after="120"/>
              <w:jc w:val="both"/>
              <w:rPr>
                <w:bCs/>
                <w:i/>
                <w:sz w:val="20"/>
                <w:szCs w:val="20"/>
              </w:rPr>
            </w:pPr>
            <w:r w:rsidRPr="00EF009B">
              <w:rPr>
                <w:bCs/>
                <w:i/>
                <w:sz w:val="20"/>
                <w:szCs w:val="20"/>
              </w:rPr>
              <w:t xml:space="preserve">Strengthened national ABS </w:t>
            </w:r>
            <w:r w:rsidR="007B5EC8" w:rsidRPr="00EF009B">
              <w:rPr>
                <w:bCs/>
                <w:i/>
                <w:sz w:val="20"/>
                <w:szCs w:val="20"/>
              </w:rPr>
              <w:t xml:space="preserve">and traditional knowledge </w:t>
            </w:r>
            <w:r w:rsidRPr="00EF009B">
              <w:rPr>
                <w:bCs/>
                <w:i/>
                <w:sz w:val="20"/>
                <w:szCs w:val="20"/>
              </w:rPr>
              <w:t>regulatory framework in compliance with the</w:t>
            </w:r>
            <w:r w:rsidRPr="006E39CB">
              <w:rPr>
                <w:bCs/>
                <w:i/>
                <w:sz w:val="20"/>
                <w:szCs w:val="20"/>
              </w:rPr>
              <w:t xml:space="preserve"> Nagoya Protocol</w:t>
            </w:r>
          </w:p>
          <w:p w:rsidR="00691A1D" w:rsidRPr="006E39CB" w:rsidRDefault="00691A1D" w:rsidP="00EF009B">
            <w:pPr>
              <w:spacing w:after="120"/>
              <w:jc w:val="both"/>
              <w:rPr>
                <w:bCs/>
                <w:sz w:val="20"/>
                <w:szCs w:val="20"/>
              </w:rPr>
            </w:pPr>
            <w:r w:rsidRPr="000E3876">
              <w:rPr>
                <w:bCs/>
                <w:i/>
                <w:sz w:val="20"/>
                <w:szCs w:val="20"/>
              </w:rPr>
              <w:t xml:space="preserve">Increased national </w:t>
            </w:r>
            <w:r w:rsidR="00354082" w:rsidRPr="000E3876">
              <w:rPr>
                <w:bCs/>
                <w:i/>
                <w:sz w:val="20"/>
                <w:szCs w:val="20"/>
              </w:rPr>
              <w:t xml:space="preserve">and local </w:t>
            </w:r>
            <w:r w:rsidRPr="000E3876">
              <w:rPr>
                <w:bCs/>
                <w:i/>
                <w:sz w:val="20"/>
                <w:szCs w:val="20"/>
              </w:rPr>
              <w:t xml:space="preserve">benefits </w:t>
            </w:r>
            <w:r w:rsidR="00123C20" w:rsidRPr="000E3876">
              <w:rPr>
                <w:bCs/>
                <w:i/>
                <w:sz w:val="20"/>
                <w:szCs w:val="20"/>
              </w:rPr>
              <w:t>derived fro</w:t>
            </w:r>
            <w:r w:rsidR="00EF009B" w:rsidRPr="000E3876">
              <w:rPr>
                <w:bCs/>
                <w:i/>
                <w:sz w:val="20"/>
                <w:szCs w:val="20"/>
              </w:rPr>
              <w:t>m the agreement between CIM</w:t>
            </w:r>
            <w:r w:rsidR="00123C20" w:rsidRPr="000E3876">
              <w:rPr>
                <w:bCs/>
                <w:i/>
                <w:sz w:val="20"/>
                <w:szCs w:val="20"/>
              </w:rPr>
              <w:t xml:space="preserve">TECH and </w:t>
            </w:r>
            <w:proofErr w:type="spellStart"/>
            <w:r w:rsidR="00123C20" w:rsidRPr="000E3876">
              <w:rPr>
                <w:bCs/>
                <w:i/>
                <w:sz w:val="20"/>
                <w:szCs w:val="20"/>
              </w:rPr>
              <w:t>Kuoto</w:t>
            </w:r>
            <w:proofErr w:type="spellEnd"/>
            <w:r w:rsidR="00123C20" w:rsidRPr="000E3876">
              <w:rPr>
                <w:bCs/>
                <w:i/>
                <w:sz w:val="20"/>
                <w:szCs w:val="20"/>
              </w:rPr>
              <w:t xml:space="preserve"> Nui </w:t>
            </w:r>
            <w:r w:rsidR="00EF009B" w:rsidRPr="000E3876">
              <w:rPr>
                <w:bCs/>
                <w:i/>
                <w:sz w:val="20"/>
                <w:szCs w:val="20"/>
              </w:rPr>
              <w:t xml:space="preserve">in genetic resources from plant extracts </w:t>
            </w:r>
            <w:r w:rsidR="00606C7C" w:rsidRPr="000E3876">
              <w:rPr>
                <w:bCs/>
                <w:i/>
                <w:sz w:val="20"/>
                <w:szCs w:val="20"/>
              </w:rPr>
              <w:t xml:space="preserve">used </w:t>
            </w:r>
            <w:r w:rsidR="00EF009B" w:rsidRPr="000E3876">
              <w:rPr>
                <w:bCs/>
                <w:i/>
                <w:sz w:val="20"/>
                <w:szCs w:val="20"/>
              </w:rPr>
              <w:t>for</w:t>
            </w:r>
            <w:r w:rsidR="00123C20" w:rsidRPr="000E3876">
              <w:rPr>
                <w:bCs/>
                <w:i/>
                <w:sz w:val="20"/>
                <w:szCs w:val="20"/>
              </w:rPr>
              <w:t xml:space="preserve"> skin care products</w:t>
            </w:r>
          </w:p>
        </w:tc>
        <w:tc>
          <w:tcPr>
            <w:tcW w:w="1469" w:type="pct"/>
            <w:shd w:val="clear" w:color="auto" w:fill="FFFFFF"/>
            <w:tcMar>
              <w:top w:w="0" w:type="dxa"/>
              <w:left w:w="115" w:type="dxa"/>
              <w:bottom w:w="0" w:type="dxa"/>
              <w:right w:w="115" w:type="dxa"/>
            </w:tcMar>
          </w:tcPr>
          <w:p w:rsidR="006E39CB" w:rsidRPr="00EF009B" w:rsidRDefault="006E39CB" w:rsidP="00736589">
            <w:pPr>
              <w:pStyle w:val="ListParagraph"/>
            </w:pPr>
            <w:r w:rsidRPr="00EF009B">
              <w:t>Increased knowledge in Cook Islands legislature of the potential benefits for the country of prompt ratification of the Nagoya Protocol</w:t>
            </w:r>
          </w:p>
          <w:p w:rsidR="006E39CB" w:rsidRPr="00EF009B" w:rsidRDefault="006E39CB" w:rsidP="00736589">
            <w:pPr>
              <w:pStyle w:val="ListParagraph"/>
            </w:pPr>
            <w:r w:rsidRPr="00EF009B">
              <w:t xml:space="preserve">Legal framework for ABS </w:t>
            </w:r>
            <w:r w:rsidR="005C661B" w:rsidRPr="00EF009B">
              <w:t xml:space="preserve">and traditional knowledge </w:t>
            </w:r>
            <w:r w:rsidRPr="00EF009B">
              <w:t xml:space="preserve">strengthened with </w:t>
            </w:r>
            <w:r w:rsidR="00771D74" w:rsidRPr="00EF009B">
              <w:t>a national ABS Act legislated with rules and regulations</w:t>
            </w:r>
            <w:r w:rsidR="00620B56" w:rsidRPr="00EF009B">
              <w:t>, consist</w:t>
            </w:r>
            <w:r w:rsidR="005531D4">
              <w:t>ent</w:t>
            </w:r>
            <w:r w:rsidR="00620B56" w:rsidRPr="00EF009B">
              <w:t xml:space="preserve"> with PIC</w:t>
            </w:r>
            <w:r w:rsidR="005C661B" w:rsidRPr="00EF009B">
              <w:t xml:space="preserve">, </w:t>
            </w:r>
            <w:r w:rsidR="00620B56" w:rsidRPr="00EF009B">
              <w:t>MAT and Benefit sharing provisions.</w:t>
            </w:r>
            <w:r w:rsidR="00771D74" w:rsidRPr="00EF009B">
              <w:t xml:space="preserve"> </w:t>
            </w:r>
          </w:p>
          <w:p w:rsidR="006E39CB" w:rsidRPr="00EF009B" w:rsidRDefault="00771D74" w:rsidP="00736589">
            <w:pPr>
              <w:pStyle w:val="ListParagraph"/>
              <w:rPr>
                <w:bCs/>
              </w:rPr>
            </w:pPr>
            <w:r w:rsidRPr="00EF009B">
              <w:t>An institutional framework, administrative systems, rules and procedures in place to facilitate implementation of the national ABS framework</w:t>
            </w:r>
          </w:p>
          <w:p w:rsidR="00691A1D" w:rsidRPr="00EF009B" w:rsidRDefault="00354082" w:rsidP="00736589">
            <w:pPr>
              <w:pStyle w:val="ListParagraph"/>
            </w:pPr>
            <w:r w:rsidRPr="00EF009B">
              <w:t xml:space="preserve">Monetary and </w:t>
            </w:r>
            <w:r w:rsidR="00691A1D" w:rsidRPr="00EF009B">
              <w:t xml:space="preserve">non-monetary benefits derived from the use/marketing of natural extracts agreed </w:t>
            </w:r>
            <w:r w:rsidR="00AE139B" w:rsidRPr="00EF009B">
              <w:t>between</w:t>
            </w:r>
            <w:r w:rsidR="00FF71F3" w:rsidRPr="00EF009B">
              <w:t xml:space="preserve"> </w:t>
            </w:r>
            <w:r w:rsidR="00432041" w:rsidRPr="00EF009B">
              <w:t>CIMTECH and Koutu Nui regarding skin care products derived from</w:t>
            </w:r>
            <w:r w:rsidR="00FF71F3" w:rsidRPr="00EF009B">
              <w:t xml:space="preserve"> </w:t>
            </w:r>
            <w:r w:rsidR="005C661B" w:rsidRPr="00EF009B">
              <w:t xml:space="preserve">genetic </w:t>
            </w:r>
            <w:r w:rsidR="005C661B" w:rsidRPr="00EF009B">
              <w:lastRenderedPageBreak/>
              <w:t>resources</w:t>
            </w:r>
            <w:r w:rsidR="00137430" w:rsidRPr="00EF009B">
              <w:t>.</w:t>
            </w:r>
          </w:p>
          <w:p w:rsidR="00691A1D" w:rsidRPr="00EF009B" w:rsidRDefault="00691A1D" w:rsidP="00432041">
            <w:pPr>
              <w:pStyle w:val="ListParagraph"/>
            </w:pPr>
            <w:r w:rsidRPr="00EF009B">
              <w:t>E</w:t>
            </w:r>
            <w:r w:rsidR="00A06E20" w:rsidRPr="00EF009B">
              <w:t>xi</w:t>
            </w:r>
            <w:r w:rsidRPr="00EF009B">
              <w:t>sting</w:t>
            </w:r>
            <w:r w:rsidR="0028259F" w:rsidRPr="00EF009B">
              <w:t xml:space="preserve"> ABS</w:t>
            </w:r>
            <w:r w:rsidRPr="00EF009B">
              <w:t xml:space="preserve"> agreement</w:t>
            </w:r>
            <w:r w:rsidR="00432041" w:rsidRPr="00EF009B">
              <w:rPr>
                <w:rStyle w:val="FootnoteReference"/>
              </w:rPr>
              <w:footnoteReference w:id="1"/>
            </w:r>
            <w:r w:rsidR="00432041" w:rsidRPr="00EF009B">
              <w:t xml:space="preserve"> between CIMTECH and Koutu Niu regarding skin care product development is</w:t>
            </w:r>
            <w:r w:rsidRPr="00EF009B">
              <w:t xml:space="preserve"> reviewed and strengthened</w:t>
            </w:r>
            <w:r w:rsidR="00354082" w:rsidRPr="00EF009B">
              <w:t>, ensuring long-term conservation of natural resources.</w:t>
            </w:r>
          </w:p>
        </w:tc>
        <w:tc>
          <w:tcPr>
            <w:tcW w:w="327" w:type="pct"/>
            <w:shd w:val="clear" w:color="auto" w:fill="FFFFFF"/>
            <w:tcMar>
              <w:top w:w="0" w:type="dxa"/>
              <w:left w:w="115" w:type="dxa"/>
              <w:bottom w:w="0" w:type="dxa"/>
              <w:right w:w="115" w:type="dxa"/>
            </w:tcMar>
          </w:tcPr>
          <w:p w:rsidR="006E39CB" w:rsidRPr="000E3876" w:rsidRDefault="00771D74" w:rsidP="00AD0C9A">
            <w:pPr>
              <w:jc w:val="both"/>
              <w:rPr>
                <w:bCs/>
                <w:sz w:val="20"/>
                <w:szCs w:val="20"/>
              </w:rPr>
            </w:pPr>
            <w:r w:rsidRPr="000E3876">
              <w:rPr>
                <w:bCs/>
                <w:sz w:val="20"/>
                <w:szCs w:val="20"/>
              </w:rPr>
              <w:lastRenderedPageBreak/>
              <w:t>NPIF</w:t>
            </w:r>
          </w:p>
        </w:tc>
        <w:tc>
          <w:tcPr>
            <w:tcW w:w="408" w:type="pct"/>
            <w:shd w:val="clear" w:color="auto" w:fill="FFFFFF"/>
            <w:tcMar>
              <w:top w:w="0" w:type="dxa"/>
              <w:left w:w="115" w:type="dxa"/>
              <w:bottom w:w="0" w:type="dxa"/>
              <w:right w:w="115" w:type="dxa"/>
            </w:tcMar>
          </w:tcPr>
          <w:p w:rsidR="006E39CB" w:rsidRPr="000E3876" w:rsidRDefault="001A3017" w:rsidP="00E00901">
            <w:pPr>
              <w:jc w:val="right"/>
              <w:rPr>
                <w:sz w:val="20"/>
                <w:szCs w:val="20"/>
              </w:rPr>
            </w:pPr>
            <w:r w:rsidRPr="000E3876">
              <w:rPr>
                <w:sz w:val="20"/>
                <w:szCs w:val="20"/>
              </w:rPr>
              <w:t>97</w:t>
            </w:r>
            <w:r w:rsidR="009B437B" w:rsidRPr="000E3876">
              <w:rPr>
                <w:sz w:val="20"/>
                <w:szCs w:val="20"/>
              </w:rPr>
              <w:t>,000</w:t>
            </w:r>
          </w:p>
        </w:tc>
        <w:tc>
          <w:tcPr>
            <w:tcW w:w="419" w:type="pct"/>
            <w:shd w:val="clear" w:color="auto" w:fill="FFFFFF"/>
            <w:tcMar>
              <w:top w:w="0" w:type="dxa"/>
              <w:left w:w="115" w:type="dxa"/>
              <w:bottom w:w="0" w:type="dxa"/>
              <w:right w:w="115" w:type="dxa"/>
            </w:tcMar>
          </w:tcPr>
          <w:p w:rsidR="006E39CB" w:rsidRPr="000E3876" w:rsidRDefault="00432041" w:rsidP="00B576FC">
            <w:pPr>
              <w:jc w:val="right"/>
              <w:rPr>
                <w:sz w:val="20"/>
                <w:szCs w:val="20"/>
              </w:rPr>
            </w:pPr>
            <w:r w:rsidRPr="000E3876">
              <w:rPr>
                <w:sz w:val="20"/>
                <w:szCs w:val="20"/>
              </w:rPr>
              <w:t>14</w:t>
            </w:r>
            <w:r w:rsidR="00B576FC" w:rsidRPr="000E3876">
              <w:rPr>
                <w:sz w:val="20"/>
                <w:szCs w:val="20"/>
              </w:rPr>
              <w:t>9</w:t>
            </w:r>
            <w:r w:rsidRPr="000E3876">
              <w:rPr>
                <w:sz w:val="20"/>
                <w:szCs w:val="20"/>
              </w:rPr>
              <w:t>,954</w:t>
            </w:r>
          </w:p>
        </w:tc>
      </w:tr>
      <w:tr w:rsidR="002B4971" w:rsidRPr="000E3876" w:rsidTr="002B4971">
        <w:trPr>
          <w:trHeight w:val="665"/>
        </w:trPr>
        <w:tc>
          <w:tcPr>
            <w:tcW w:w="665" w:type="pct"/>
            <w:shd w:val="clear" w:color="auto" w:fill="FFFFFF"/>
            <w:tcMar>
              <w:top w:w="0" w:type="dxa"/>
              <w:left w:w="115" w:type="dxa"/>
              <w:bottom w:w="0" w:type="dxa"/>
              <w:right w:w="115" w:type="dxa"/>
            </w:tcMar>
          </w:tcPr>
          <w:p w:rsidR="00153F66" w:rsidRPr="00E00901" w:rsidRDefault="008A47E5" w:rsidP="00930EEA">
            <w:pPr>
              <w:rPr>
                <w:bCs/>
                <w:sz w:val="20"/>
                <w:szCs w:val="20"/>
              </w:rPr>
            </w:pPr>
            <w:r>
              <w:rPr>
                <w:bCs/>
                <w:sz w:val="20"/>
                <w:szCs w:val="20"/>
              </w:rPr>
              <w:lastRenderedPageBreak/>
              <w:t>2</w:t>
            </w:r>
            <w:r w:rsidR="00153F66" w:rsidRPr="00E00901">
              <w:rPr>
                <w:bCs/>
                <w:sz w:val="20"/>
                <w:szCs w:val="20"/>
              </w:rPr>
              <w:t>.</w:t>
            </w:r>
            <w:r w:rsidR="000C724F">
              <w:rPr>
                <w:bCs/>
                <w:sz w:val="20"/>
                <w:szCs w:val="20"/>
              </w:rPr>
              <w:t xml:space="preserve"> </w:t>
            </w:r>
            <w:r w:rsidR="00930EEA">
              <w:rPr>
                <w:bCs/>
                <w:sz w:val="20"/>
                <w:szCs w:val="20"/>
              </w:rPr>
              <w:t>Capacity building and awareness raising for the implementation of the National ABS Framework</w:t>
            </w:r>
          </w:p>
        </w:tc>
        <w:tc>
          <w:tcPr>
            <w:tcW w:w="245" w:type="pct"/>
            <w:shd w:val="clear" w:color="auto" w:fill="FFFFFF"/>
            <w:tcMar>
              <w:top w:w="0" w:type="dxa"/>
              <w:left w:w="115" w:type="dxa"/>
              <w:bottom w:w="0" w:type="dxa"/>
              <w:right w:w="115" w:type="dxa"/>
            </w:tcMar>
          </w:tcPr>
          <w:p w:rsidR="00153F66" w:rsidRPr="00E00901" w:rsidRDefault="00B02163" w:rsidP="00AD0C9A">
            <w:pPr>
              <w:jc w:val="both"/>
              <w:rPr>
                <w:bCs/>
                <w:sz w:val="20"/>
                <w:szCs w:val="20"/>
              </w:rPr>
            </w:pPr>
            <w:r w:rsidRPr="00E00901">
              <w:rPr>
                <w:bCs/>
                <w:sz w:val="20"/>
                <w:szCs w:val="20"/>
              </w:rPr>
              <w:t>TA/ INV</w:t>
            </w:r>
          </w:p>
        </w:tc>
        <w:tc>
          <w:tcPr>
            <w:tcW w:w="1467" w:type="pct"/>
            <w:shd w:val="clear" w:color="auto" w:fill="FFFFFF"/>
            <w:tcMar>
              <w:top w:w="0" w:type="dxa"/>
              <w:left w:w="115" w:type="dxa"/>
              <w:bottom w:w="0" w:type="dxa"/>
              <w:right w:w="115" w:type="dxa"/>
            </w:tcMar>
          </w:tcPr>
          <w:p w:rsidR="003F6F4C" w:rsidRPr="003F6F4C" w:rsidRDefault="003F6F4C" w:rsidP="00A06E20">
            <w:pPr>
              <w:spacing w:after="120"/>
              <w:rPr>
                <w:bCs/>
                <w:i/>
                <w:sz w:val="20"/>
                <w:szCs w:val="20"/>
              </w:rPr>
            </w:pPr>
            <w:r w:rsidRPr="003F6F4C">
              <w:rPr>
                <w:bCs/>
                <w:i/>
                <w:sz w:val="20"/>
                <w:szCs w:val="20"/>
              </w:rPr>
              <w:t>Improved capacities of the Biodiversity Un</w:t>
            </w:r>
            <w:r w:rsidR="003370E6">
              <w:rPr>
                <w:bCs/>
                <w:i/>
                <w:sz w:val="20"/>
                <w:szCs w:val="20"/>
              </w:rPr>
              <w:t>it (BU), Island Future Division</w:t>
            </w:r>
            <w:r w:rsidR="003370E6" w:rsidRPr="003370E6">
              <w:rPr>
                <w:bCs/>
                <w:i/>
                <w:sz w:val="20"/>
                <w:szCs w:val="20"/>
              </w:rPr>
              <w:t xml:space="preserve">, </w:t>
            </w:r>
            <w:r w:rsidRPr="003370E6">
              <w:rPr>
                <w:bCs/>
                <w:i/>
                <w:sz w:val="20"/>
                <w:szCs w:val="20"/>
              </w:rPr>
              <w:t>the National Research Committee</w:t>
            </w:r>
            <w:r w:rsidRPr="003F6F4C">
              <w:rPr>
                <w:bCs/>
                <w:i/>
                <w:sz w:val="20"/>
                <w:szCs w:val="20"/>
              </w:rPr>
              <w:t xml:space="preserve"> </w:t>
            </w:r>
            <w:r w:rsidR="003370E6">
              <w:rPr>
                <w:bCs/>
                <w:i/>
                <w:sz w:val="20"/>
                <w:szCs w:val="20"/>
              </w:rPr>
              <w:t xml:space="preserve">and the Law Enforcement agencies </w:t>
            </w:r>
            <w:r w:rsidRPr="003F6F4C">
              <w:rPr>
                <w:bCs/>
                <w:i/>
                <w:sz w:val="20"/>
                <w:szCs w:val="20"/>
              </w:rPr>
              <w:t xml:space="preserve">for facilitating ABS agreements and handling issues under the Nagoya Protocol, indicated by: (i) Increased capacity in BU for monitoring of bio-prospecting projects; (ii) Increased capacity to add value to genetic/biological resources in the country; (iii) Improvement of the capacity of BU for negotiating ABS agreements as recorded in the UNDP ABS Capacity Scorecard </w:t>
            </w:r>
            <w:r>
              <w:rPr>
                <w:bCs/>
                <w:sz w:val="20"/>
                <w:szCs w:val="20"/>
              </w:rPr>
              <w:t>[</w:t>
            </w:r>
            <w:r w:rsidRPr="003F6F4C">
              <w:rPr>
                <w:bCs/>
                <w:sz w:val="20"/>
                <w:szCs w:val="20"/>
              </w:rPr>
              <w:t>baseline is t</w:t>
            </w:r>
            <w:r>
              <w:rPr>
                <w:bCs/>
                <w:sz w:val="20"/>
                <w:szCs w:val="20"/>
              </w:rPr>
              <w:t>o be established during the PPG].</w:t>
            </w:r>
          </w:p>
          <w:p w:rsidR="003F6F4C" w:rsidRPr="00E00901" w:rsidRDefault="003F6F4C" w:rsidP="00A06E20">
            <w:pPr>
              <w:spacing w:after="120"/>
              <w:rPr>
                <w:bCs/>
                <w:sz w:val="20"/>
                <w:szCs w:val="20"/>
              </w:rPr>
            </w:pPr>
            <w:r w:rsidRPr="003F6F4C">
              <w:rPr>
                <w:i/>
                <w:sz w:val="20"/>
                <w:szCs w:val="20"/>
              </w:rPr>
              <w:t>Enhanced understanding of the ABS regime and the value of traditional knowledge associated with genetic and biological resources for improved policy making and on the ground conservation, sustainable use and fair and equitable sharing of benefits.</w:t>
            </w:r>
          </w:p>
        </w:tc>
        <w:tc>
          <w:tcPr>
            <w:tcW w:w="1469" w:type="pct"/>
            <w:shd w:val="clear" w:color="auto" w:fill="FFFFFF"/>
            <w:tcMar>
              <w:top w:w="0" w:type="dxa"/>
              <w:left w:w="115" w:type="dxa"/>
              <w:bottom w:w="0" w:type="dxa"/>
              <w:right w:w="115" w:type="dxa"/>
            </w:tcMar>
          </w:tcPr>
          <w:p w:rsidR="00153F66" w:rsidRPr="00EF009B" w:rsidRDefault="003F6F4C" w:rsidP="00736589">
            <w:pPr>
              <w:pStyle w:val="ListParagraph"/>
              <w:numPr>
                <w:ilvl w:val="0"/>
                <w:numId w:val="39"/>
              </w:numPr>
              <w:ind w:left="144" w:hanging="144"/>
            </w:pPr>
            <w:r w:rsidRPr="00EF009B">
              <w:t xml:space="preserve">Improved facility and capacity for bio-prospecting and traditional knowledge documentation, </w:t>
            </w:r>
            <w:r w:rsidR="006D1543" w:rsidRPr="00EF009B">
              <w:t>as well as t</w:t>
            </w:r>
            <w:r w:rsidR="003370E6" w:rsidRPr="00EF009B">
              <w:t xml:space="preserve">raining of enforcement agencies, </w:t>
            </w:r>
            <w:r w:rsidR="006D1543" w:rsidRPr="00EF009B">
              <w:t>other Government agencies and NGOs on the Nagoya Protocol and national ABS leg</w:t>
            </w:r>
            <w:r w:rsidR="00F01FA8">
              <w:t>i</w:t>
            </w:r>
            <w:r w:rsidR="006D1543" w:rsidRPr="00EF009B">
              <w:t>slation.</w:t>
            </w:r>
          </w:p>
          <w:p w:rsidR="00E43A1A" w:rsidRPr="00EF009B" w:rsidRDefault="00691A1D" w:rsidP="00736589">
            <w:pPr>
              <w:pStyle w:val="ListParagraph"/>
              <w:numPr>
                <w:ilvl w:val="0"/>
                <w:numId w:val="39"/>
              </w:numPr>
              <w:ind w:left="144" w:hanging="144"/>
            </w:pPr>
            <w:r w:rsidRPr="00EF009B">
              <w:t>Mechan</w:t>
            </w:r>
            <w:r w:rsidR="00E43A1A" w:rsidRPr="00EF009B">
              <w:t xml:space="preserve">isms and methodologies for ABS </w:t>
            </w:r>
            <w:r w:rsidR="00A4323D" w:rsidRPr="00EF009B">
              <w:t xml:space="preserve">and traditional knowledge </w:t>
            </w:r>
            <w:r w:rsidR="00E43A1A" w:rsidRPr="00EF009B">
              <w:t xml:space="preserve">operationalised clarifying </w:t>
            </w:r>
            <w:r w:rsidR="00A4323D" w:rsidRPr="00EF009B">
              <w:t xml:space="preserve">PIC </w:t>
            </w:r>
            <w:r w:rsidR="00E43A1A" w:rsidRPr="00EF009B">
              <w:t xml:space="preserve">rules and procedures for BU and genetic resource providers and users </w:t>
            </w:r>
          </w:p>
          <w:p w:rsidR="00A06E20" w:rsidRPr="00EF009B" w:rsidRDefault="00A06E20" w:rsidP="00736589">
            <w:pPr>
              <w:pStyle w:val="ListParagraph"/>
              <w:numPr>
                <w:ilvl w:val="0"/>
                <w:numId w:val="39"/>
              </w:numPr>
              <w:ind w:left="144" w:hanging="144"/>
            </w:pPr>
            <w:r w:rsidRPr="00EF009B">
              <w:t>On-line processes in place for ABS agreements, in line with National Environment Service (NES) systems and procedures</w:t>
            </w:r>
          </w:p>
          <w:p w:rsidR="00E43A1A" w:rsidRPr="00EF009B" w:rsidRDefault="00E43A1A" w:rsidP="00736589">
            <w:pPr>
              <w:pStyle w:val="ListParagraph"/>
              <w:numPr>
                <w:ilvl w:val="0"/>
                <w:numId w:val="39"/>
              </w:numPr>
              <w:ind w:left="144" w:hanging="144"/>
            </w:pPr>
            <w:r w:rsidRPr="00EF009B">
              <w:t>Awareness of the public on ABS and conservation and sustainable use of genetic/biological resources enhanced through a range of outreach activities.</w:t>
            </w:r>
          </w:p>
        </w:tc>
        <w:tc>
          <w:tcPr>
            <w:tcW w:w="327" w:type="pct"/>
            <w:shd w:val="clear" w:color="auto" w:fill="FFFFFF"/>
            <w:tcMar>
              <w:top w:w="0" w:type="dxa"/>
              <w:left w:w="115" w:type="dxa"/>
              <w:bottom w:w="0" w:type="dxa"/>
              <w:right w:w="115" w:type="dxa"/>
            </w:tcMar>
          </w:tcPr>
          <w:p w:rsidR="00153F66" w:rsidRPr="000E3876" w:rsidRDefault="00E00901" w:rsidP="00AD0C9A">
            <w:pPr>
              <w:jc w:val="both"/>
              <w:rPr>
                <w:bCs/>
                <w:sz w:val="20"/>
                <w:szCs w:val="20"/>
              </w:rPr>
            </w:pPr>
            <w:r w:rsidRPr="000E3876">
              <w:rPr>
                <w:bCs/>
                <w:sz w:val="20"/>
                <w:szCs w:val="20"/>
              </w:rPr>
              <w:t>NPIF</w:t>
            </w:r>
          </w:p>
        </w:tc>
        <w:tc>
          <w:tcPr>
            <w:tcW w:w="408" w:type="pct"/>
            <w:shd w:val="clear" w:color="auto" w:fill="FFFFFF"/>
            <w:tcMar>
              <w:top w:w="0" w:type="dxa"/>
              <w:left w:w="115" w:type="dxa"/>
              <w:bottom w:w="0" w:type="dxa"/>
              <w:right w:w="115" w:type="dxa"/>
            </w:tcMar>
          </w:tcPr>
          <w:p w:rsidR="00153F66" w:rsidRPr="000E3876" w:rsidRDefault="001A3017" w:rsidP="001A3017">
            <w:pPr>
              <w:jc w:val="right"/>
              <w:rPr>
                <w:sz w:val="20"/>
                <w:szCs w:val="20"/>
              </w:rPr>
            </w:pPr>
            <w:r w:rsidRPr="000E3876">
              <w:rPr>
                <w:sz w:val="20"/>
                <w:szCs w:val="20"/>
              </w:rPr>
              <w:t>155,2</w:t>
            </w:r>
            <w:r w:rsidR="009B437B" w:rsidRPr="000E3876">
              <w:rPr>
                <w:sz w:val="20"/>
                <w:szCs w:val="20"/>
              </w:rPr>
              <w:t>00</w:t>
            </w:r>
          </w:p>
        </w:tc>
        <w:tc>
          <w:tcPr>
            <w:tcW w:w="419" w:type="pct"/>
            <w:shd w:val="clear" w:color="auto" w:fill="FFFFFF"/>
            <w:tcMar>
              <w:top w:w="0" w:type="dxa"/>
              <w:left w:w="115" w:type="dxa"/>
              <w:bottom w:w="0" w:type="dxa"/>
              <w:right w:w="115" w:type="dxa"/>
            </w:tcMar>
          </w:tcPr>
          <w:p w:rsidR="00153F66" w:rsidRPr="000E3876" w:rsidRDefault="00432041" w:rsidP="00B576FC">
            <w:pPr>
              <w:jc w:val="right"/>
              <w:rPr>
                <w:sz w:val="20"/>
                <w:szCs w:val="20"/>
              </w:rPr>
            </w:pPr>
            <w:r w:rsidRPr="000E3876">
              <w:rPr>
                <w:sz w:val="20"/>
                <w:szCs w:val="20"/>
              </w:rPr>
              <w:t>23</w:t>
            </w:r>
            <w:r w:rsidR="00B576FC" w:rsidRPr="000E3876">
              <w:rPr>
                <w:sz w:val="20"/>
                <w:szCs w:val="20"/>
              </w:rPr>
              <w:t>9</w:t>
            </w:r>
            <w:r w:rsidRPr="000E3876">
              <w:rPr>
                <w:sz w:val="20"/>
                <w:szCs w:val="20"/>
              </w:rPr>
              <w:t>,</w:t>
            </w:r>
            <w:r w:rsidR="00B576FC" w:rsidRPr="000E3876">
              <w:rPr>
                <w:sz w:val="20"/>
                <w:szCs w:val="20"/>
              </w:rPr>
              <w:t>9</w:t>
            </w:r>
            <w:r w:rsidRPr="000E3876">
              <w:rPr>
                <w:sz w:val="20"/>
                <w:szCs w:val="20"/>
              </w:rPr>
              <w:t>2</w:t>
            </w:r>
            <w:r w:rsidR="00A22D31">
              <w:rPr>
                <w:sz w:val="20"/>
                <w:szCs w:val="20"/>
              </w:rPr>
              <w:t>5</w:t>
            </w:r>
          </w:p>
        </w:tc>
      </w:tr>
      <w:tr w:rsidR="002B4971" w:rsidRPr="000E3876" w:rsidTr="002B4971">
        <w:tc>
          <w:tcPr>
            <w:tcW w:w="665" w:type="pct"/>
            <w:shd w:val="clear" w:color="auto" w:fill="FFFFFF"/>
            <w:tcMar>
              <w:top w:w="0" w:type="dxa"/>
              <w:left w:w="115" w:type="dxa"/>
              <w:bottom w:w="0" w:type="dxa"/>
              <w:right w:w="115" w:type="dxa"/>
            </w:tcMar>
          </w:tcPr>
          <w:p w:rsidR="0014310F" w:rsidRPr="00EF009B" w:rsidRDefault="008A47E5" w:rsidP="00A06E20">
            <w:pPr>
              <w:rPr>
                <w:rFonts w:eastAsia="Calibri"/>
                <w:sz w:val="20"/>
                <w:szCs w:val="20"/>
              </w:rPr>
            </w:pPr>
            <w:r w:rsidRPr="00EF009B">
              <w:rPr>
                <w:rFonts w:eastAsia="Calibri"/>
                <w:sz w:val="20"/>
                <w:szCs w:val="20"/>
              </w:rPr>
              <w:t>3</w:t>
            </w:r>
            <w:r w:rsidR="0014310F" w:rsidRPr="00EF009B">
              <w:rPr>
                <w:rFonts w:eastAsia="Calibri"/>
                <w:sz w:val="20"/>
                <w:szCs w:val="20"/>
              </w:rPr>
              <w:t>.</w:t>
            </w:r>
            <w:r w:rsidR="007B5EC8" w:rsidRPr="00EF009B">
              <w:rPr>
                <w:rFonts w:eastAsia="Calibri"/>
                <w:sz w:val="20"/>
                <w:szCs w:val="20"/>
              </w:rPr>
              <w:t xml:space="preserve"> Bio-discovery and benefit-sharing</w:t>
            </w:r>
            <w:r w:rsidR="005D5E87" w:rsidRPr="00EF009B">
              <w:rPr>
                <w:rFonts w:eastAsia="Calibri"/>
                <w:sz w:val="20"/>
                <w:szCs w:val="20"/>
              </w:rPr>
              <w:t xml:space="preserve"> Agreement based on Traditional Knowledge on Bone and Cartilage Regeneration </w:t>
            </w:r>
          </w:p>
        </w:tc>
        <w:tc>
          <w:tcPr>
            <w:tcW w:w="245" w:type="pct"/>
            <w:shd w:val="clear" w:color="auto" w:fill="FFFFFF"/>
            <w:tcMar>
              <w:top w:w="0" w:type="dxa"/>
              <w:left w:w="115" w:type="dxa"/>
              <w:bottom w:w="0" w:type="dxa"/>
              <w:right w:w="115" w:type="dxa"/>
            </w:tcMar>
          </w:tcPr>
          <w:p w:rsidR="0014310F" w:rsidRPr="00EF009B" w:rsidRDefault="00B02163" w:rsidP="00AD0C9A">
            <w:pPr>
              <w:jc w:val="both"/>
              <w:rPr>
                <w:rFonts w:eastAsia="Calibri"/>
                <w:sz w:val="20"/>
                <w:szCs w:val="20"/>
              </w:rPr>
            </w:pPr>
            <w:r w:rsidRPr="00EF009B">
              <w:rPr>
                <w:rFonts w:eastAsia="Calibri"/>
                <w:sz w:val="20"/>
                <w:szCs w:val="20"/>
              </w:rPr>
              <w:t>TA</w:t>
            </w:r>
          </w:p>
        </w:tc>
        <w:tc>
          <w:tcPr>
            <w:tcW w:w="1467" w:type="pct"/>
            <w:shd w:val="clear" w:color="auto" w:fill="FFFFFF"/>
            <w:tcMar>
              <w:top w:w="0" w:type="dxa"/>
              <w:left w:w="115" w:type="dxa"/>
              <w:bottom w:w="0" w:type="dxa"/>
              <w:right w:w="115" w:type="dxa"/>
            </w:tcMar>
          </w:tcPr>
          <w:p w:rsidR="00736589" w:rsidRPr="00EF009B" w:rsidRDefault="00A06E20" w:rsidP="00A06E20">
            <w:pPr>
              <w:rPr>
                <w:rFonts w:eastAsia="Calibri"/>
                <w:sz w:val="20"/>
                <w:szCs w:val="20"/>
              </w:rPr>
            </w:pPr>
            <w:r w:rsidRPr="00EF009B">
              <w:rPr>
                <w:rFonts w:eastAsia="Calibri"/>
                <w:sz w:val="20"/>
                <w:szCs w:val="20"/>
              </w:rPr>
              <w:t xml:space="preserve">Effective working of a national ABS regime demonstrated by: </w:t>
            </w:r>
          </w:p>
          <w:p w:rsidR="0088383B" w:rsidRPr="00EF009B" w:rsidRDefault="0088383B" w:rsidP="0088383B">
            <w:pPr>
              <w:pStyle w:val="ListParagraph"/>
              <w:numPr>
                <w:ilvl w:val="0"/>
                <w:numId w:val="40"/>
              </w:numPr>
              <w:tabs>
                <w:tab w:val="clear" w:pos="144"/>
                <w:tab w:val="left" w:pos="432"/>
              </w:tabs>
              <w:ind w:left="432" w:hanging="432"/>
              <w:rPr>
                <w:rFonts w:eastAsia="Calibri"/>
              </w:rPr>
            </w:pPr>
            <w:r w:rsidRPr="00EF009B">
              <w:rPr>
                <w:rFonts w:eastAsia="Calibri"/>
              </w:rPr>
              <w:t>One ABS Agreement reviewed in order to ensure its alignment with the revised legislation and the Nagoya Protocol</w:t>
            </w:r>
            <w:r w:rsidR="00184E9E" w:rsidRPr="00EF009B">
              <w:rPr>
                <w:rFonts w:eastAsia="Calibri"/>
              </w:rPr>
              <w:t>.</w:t>
            </w:r>
          </w:p>
          <w:p w:rsidR="00736589" w:rsidRPr="00EF009B" w:rsidRDefault="00736589" w:rsidP="0088383B">
            <w:pPr>
              <w:pStyle w:val="ListParagraph"/>
              <w:numPr>
                <w:ilvl w:val="0"/>
                <w:numId w:val="40"/>
              </w:numPr>
              <w:tabs>
                <w:tab w:val="clear" w:pos="144"/>
                <w:tab w:val="left" w:pos="432"/>
              </w:tabs>
              <w:ind w:left="432" w:hanging="432"/>
              <w:rPr>
                <w:rFonts w:eastAsia="Calibri"/>
              </w:rPr>
            </w:pPr>
            <w:r w:rsidRPr="00EF009B">
              <w:rPr>
                <w:rFonts w:eastAsia="Calibri"/>
              </w:rPr>
              <w:t>Improved extraction protocol developed for natural biologically active plant compound derived from “Au” (</w:t>
            </w:r>
            <w:r w:rsidRPr="00EF009B">
              <w:rPr>
                <w:rFonts w:eastAsia="Calibri"/>
                <w:i/>
              </w:rPr>
              <w:t>Hibiscus tiliaceus</w:t>
            </w:r>
            <w:r w:rsidRPr="00EF009B">
              <w:rPr>
                <w:rFonts w:eastAsia="Calibri"/>
              </w:rPr>
              <w:t xml:space="preserve">) to meet international standards of efficacy and safety, which has been shown to have bone and cartilage regeneration properties. </w:t>
            </w:r>
          </w:p>
          <w:p w:rsidR="00736589" w:rsidRPr="00EF009B" w:rsidRDefault="00736589" w:rsidP="0088383B">
            <w:pPr>
              <w:pStyle w:val="ListParagraph"/>
              <w:numPr>
                <w:ilvl w:val="0"/>
                <w:numId w:val="40"/>
              </w:numPr>
              <w:tabs>
                <w:tab w:val="clear" w:pos="144"/>
                <w:tab w:val="left" w:pos="432"/>
              </w:tabs>
              <w:ind w:left="432" w:hanging="432"/>
              <w:rPr>
                <w:rFonts w:eastAsia="Calibri"/>
              </w:rPr>
            </w:pPr>
            <w:r w:rsidRPr="00EF009B">
              <w:rPr>
                <w:rFonts w:eastAsia="Calibri"/>
              </w:rPr>
              <w:t>Scaled up production facility to access international market for the biologically active compound</w:t>
            </w:r>
          </w:p>
          <w:p w:rsidR="00354D45" w:rsidRPr="00EF009B" w:rsidRDefault="00736589" w:rsidP="0088383B">
            <w:pPr>
              <w:pStyle w:val="ListParagraph"/>
              <w:numPr>
                <w:ilvl w:val="0"/>
                <w:numId w:val="40"/>
              </w:numPr>
              <w:tabs>
                <w:tab w:val="clear" w:pos="144"/>
                <w:tab w:val="left" w:pos="432"/>
              </w:tabs>
              <w:ind w:left="432" w:hanging="432"/>
              <w:rPr>
                <w:rFonts w:eastAsia="Calibri"/>
              </w:rPr>
            </w:pPr>
            <w:r w:rsidRPr="00EF009B">
              <w:rPr>
                <w:rFonts w:eastAsia="Calibri"/>
              </w:rPr>
              <w:t xml:space="preserve">Local communities’ capacities strengthened on sustainable cultivation/ collection of </w:t>
            </w:r>
            <w:r w:rsidRPr="00EF009B">
              <w:rPr>
                <w:rFonts w:eastAsia="Calibri"/>
                <w:i/>
                <w:iCs/>
              </w:rPr>
              <w:lastRenderedPageBreak/>
              <w:t>Hibiscus tiliaceus</w:t>
            </w:r>
          </w:p>
          <w:p w:rsidR="002A26BB" w:rsidRPr="00910548" w:rsidRDefault="000E3876" w:rsidP="0088383B">
            <w:pPr>
              <w:pStyle w:val="ListParagraph"/>
              <w:numPr>
                <w:ilvl w:val="0"/>
                <w:numId w:val="40"/>
              </w:numPr>
              <w:tabs>
                <w:tab w:val="clear" w:pos="144"/>
                <w:tab w:val="left" w:pos="432"/>
              </w:tabs>
              <w:ind w:left="432" w:hanging="432"/>
              <w:rPr>
                <w:rFonts w:eastAsia="Calibri"/>
              </w:rPr>
            </w:pPr>
            <w:r w:rsidRPr="00910548">
              <w:rPr>
                <w:rFonts w:eastAsia="Calibri"/>
                <w:iCs/>
              </w:rPr>
              <w:t>Habitat</w:t>
            </w:r>
            <w:r w:rsidRPr="00910548">
              <w:rPr>
                <w:rStyle w:val="FootnoteReference"/>
                <w:rFonts w:eastAsia="Calibri"/>
                <w:iCs/>
              </w:rPr>
              <w:footnoteReference w:id="2"/>
            </w:r>
            <w:r w:rsidRPr="00910548">
              <w:rPr>
                <w:rFonts w:eastAsia="Calibri"/>
                <w:iCs/>
              </w:rPr>
              <w:t xml:space="preserve"> of </w:t>
            </w:r>
            <w:r w:rsidRPr="00910548">
              <w:rPr>
                <w:rFonts w:eastAsia="Calibri"/>
                <w:i/>
                <w:iCs/>
              </w:rPr>
              <w:t>H.</w:t>
            </w:r>
            <w:r w:rsidR="00EF009B" w:rsidRPr="00910548">
              <w:rPr>
                <w:rFonts w:eastAsia="Calibri"/>
                <w:i/>
                <w:iCs/>
              </w:rPr>
              <w:t xml:space="preserve"> tiliaceus</w:t>
            </w:r>
            <w:r w:rsidR="00EF009B" w:rsidRPr="00910548">
              <w:rPr>
                <w:rFonts w:eastAsia="Calibri"/>
                <w:iCs/>
              </w:rPr>
              <w:t xml:space="preserve"> conserved through traditional conservation </w:t>
            </w:r>
            <w:r w:rsidR="001672DE" w:rsidRPr="00910548">
              <w:rPr>
                <w:rFonts w:eastAsia="Calibri"/>
                <w:iCs/>
              </w:rPr>
              <w:t xml:space="preserve">and sustainable extraction </w:t>
            </w:r>
            <w:r w:rsidR="002A26BB" w:rsidRPr="00910548">
              <w:rPr>
                <w:rFonts w:eastAsia="Calibri"/>
                <w:iCs/>
              </w:rPr>
              <w:t>practices</w:t>
            </w:r>
            <w:r w:rsidRPr="00910548">
              <w:rPr>
                <w:rFonts w:eastAsia="Calibri"/>
                <w:iCs/>
              </w:rPr>
              <w:t>.</w:t>
            </w:r>
          </w:p>
          <w:p w:rsidR="0014310F" w:rsidRPr="00EF009B" w:rsidRDefault="0014310F" w:rsidP="00A06E20">
            <w:pPr>
              <w:rPr>
                <w:rFonts w:eastAsia="Calibri"/>
                <w:sz w:val="20"/>
                <w:szCs w:val="20"/>
              </w:rPr>
            </w:pPr>
          </w:p>
        </w:tc>
        <w:tc>
          <w:tcPr>
            <w:tcW w:w="1469" w:type="pct"/>
            <w:shd w:val="clear" w:color="auto" w:fill="FFFFFF"/>
            <w:tcMar>
              <w:top w:w="0" w:type="dxa"/>
              <w:left w:w="115" w:type="dxa"/>
              <w:bottom w:w="0" w:type="dxa"/>
              <w:right w:w="115" w:type="dxa"/>
            </w:tcMar>
          </w:tcPr>
          <w:p w:rsidR="00184E9E" w:rsidRPr="00EF009B" w:rsidRDefault="00184E9E" w:rsidP="003370E6">
            <w:pPr>
              <w:pStyle w:val="ListParagraph"/>
            </w:pPr>
            <w:r w:rsidRPr="00EF009B">
              <w:lastRenderedPageBreak/>
              <w:t>ABS agreement between CIMTECH and Koutu Niu revised in line with legal pro</w:t>
            </w:r>
            <w:r w:rsidR="003370E6" w:rsidRPr="00EF009B">
              <w:t xml:space="preserve">visions in order to ensure the </w:t>
            </w:r>
            <w:r w:rsidRPr="00EF009B">
              <w:t xml:space="preserve">equitable sharing of benefits including agreement that at least 25% of community’s share is reinvested in </w:t>
            </w:r>
            <w:r w:rsidR="00FD566D" w:rsidRPr="00EF009B">
              <w:t>traditional</w:t>
            </w:r>
            <w:r w:rsidR="00354D45" w:rsidRPr="00EF009B">
              <w:t xml:space="preserve"> conservation</w:t>
            </w:r>
            <w:r w:rsidR="002A26BB" w:rsidRPr="00EF009B">
              <w:t xml:space="preserve"> practic</w:t>
            </w:r>
            <w:r w:rsidR="00FD566D" w:rsidRPr="00EF009B">
              <w:t xml:space="preserve">es </w:t>
            </w:r>
            <w:r w:rsidR="002A26BB" w:rsidRPr="00EF009B">
              <w:t xml:space="preserve">including Ra’ui </w:t>
            </w:r>
            <w:r w:rsidRPr="00EF009B">
              <w:t>establishment and management.</w:t>
            </w:r>
          </w:p>
          <w:p w:rsidR="00D14EFF" w:rsidRPr="00EF009B" w:rsidRDefault="00736589" w:rsidP="003370E6">
            <w:pPr>
              <w:pStyle w:val="ListParagraph"/>
            </w:pPr>
            <w:r w:rsidRPr="00EF009B">
              <w:t>Protocols for extraction and standardisation of active comp</w:t>
            </w:r>
            <w:r w:rsidR="008A47E5" w:rsidRPr="00EF009B">
              <w:t>o</w:t>
            </w:r>
            <w:r w:rsidRPr="00EF009B">
              <w:t>unds from “Au”</w:t>
            </w:r>
            <w:r w:rsidR="00184E9E" w:rsidRPr="00EF009B">
              <w:t xml:space="preserve"> developed.</w:t>
            </w:r>
          </w:p>
          <w:p w:rsidR="00736589" w:rsidRPr="00EF009B" w:rsidRDefault="00736589" w:rsidP="003370E6">
            <w:pPr>
              <w:pStyle w:val="ListParagraph"/>
            </w:pPr>
            <w:r w:rsidRPr="00EF009B">
              <w:t>Toxicological tr</w:t>
            </w:r>
            <w:r w:rsidR="008A47E5" w:rsidRPr="00EF009B">
              <w:t>ials ensure safety of the extract for therapeutic applications.</w:t>
            </w:r>
          </w:p>
          <w:p w:rsidR="008A47E5" w:rsidRPr="00EF009B" w:rsidRDefault="008A47E5" w:rsidP="003370E6">
            <w:pPr>
              <w:pStyle w:val="ListParagraph"/>
            </w:pPr>
            <w:r w:rsidRPr="00EF009B">
              <w:t>As</w:t>
            </w:r>
            <w:r w:rsidR="00714919" w:rsidRPr="00EF009B">
              <w:t>s</w:t>
            </w:r>
            <w:r w:rsidRPr="00EF009B">
              <w:t>ay of the efficacy of the extract in bone defect and bone grafting studies to prove the therapeutic effect of the extract for use in therapeutic applications</w:t>
            </w:r>
            <w:r w:rsidR="00184E9E" w:rsidRPr="00EF009B">
              <w:t>.</w:t>
            </w:r>
          </w:p>
          <w:p w:rsidR="008A47E5" w:rsidRPr="00EF009B" w:rsidRDefault="008A47E5" w:rsidP="003370E6">
            <w:pPr>
              <w:pStyle w:val="ListParagraph"/>
            </w:pPr>
            <w:r w:rsidRPr="00EF009B">
              <w:t xml:space="preserve">Infrastructure and equipment to scale up production with the </w:t>
            </w:r>
            <w:r w:rsidRPr="00EF009B">
              <w:lastRenderedPageBreak/>
              <w:t xml:space="preserve">adequate quality control measures in place. </w:t>
            </w:r>
          </w:p>
          <w:p w:rsidR="008A47E5" w:rsidRPr="00EF009B" w:rsidRDefault="008A47E5" w:rsidP="003370E6">
            <w:pPr>
              <w:pStyle w:val="ListParagraph"/>
            </w:pPr>
            <w:r w:rsidRPr="00EF009B">
              <w:t xml:space="preserve">Analytical and laboratory capacities are in place in order to ensure quality of the biologically active extract. </w:t>
            </w:r>
          </w:p>
          <w:p w:rsidR="00736589" w:rsidRPr="00EF009B" w:rsidRDefault="002D6420" w:rsidP="003370E6">
            <w:pPr>
              <w:pStyle w:val="ListParagraph"/>
            </w:pPr>
            <w:r w:rsidRPr="00EF009B">
              <w:t>G</w:t>
            </w:r>
            <w:r w:rsidR="008A47E5" w:rsidRPr="00EF009B">
              <w:t>uidelines and oversight of the collection and cultivation for H. tiliaceus</w:t>
            </w:r>
          </w:p>
          <w:p w:rsidR="008A47E5" w:rsidRPr="00EF009B" w:rsidRDefault="008A47E5" w:rsidP="003370E6">
            <w:pPr>
              <w:pStyle w:val="ListParagraph"/>
            </w:pPr>
            <w:r w:rsidRPr="00EF009B">
              <w:t>Defined certification process for ref</w:t>
            </w:r>
            <w:r w:rsidR="00184E9E" w:rsidRPr="00EF009B">
              <w:t xml:space="preserve">ined extract </w:t>
            </w:r>
            <w:r w:rsidRPr="00EF009B">
              <w:t>for export</w:t>
            </w:r>
          </w:p>
          <w:p w:rsidR="008A47E5" w:rsidRPr="00EF009B" w:rsidRDefault="008A47E5" w:rsidP="003370E6">
            <w:pPr>
              <w:pStyle w:val="ListParagraph"/>
            </w:pPr>
            <w:r w:rsidRPr="00EF009B">
              <w:t>Market analysis and development (nationally and internationally)</w:t>
            </w:r>
          </w:p>
        </w:tc>
        <w:tc>
          <w:tcPr>
            <w:tcW w:w="327" w:type="pct"/>
            <w:shd w:val="clear" w:color="auto" w:fill="FFFFFF"/>
            <w:tcMar>
              <w:top w:w="0" w:type="dxa"/>
              <w:left w:w="115" w:type="dxa"/>
              <w:bottom w:w="0" w:type="dxa"/>
              <w:right w:w="115" w:type="dxa"/>
            </w:tcMar>
          </w:tcPr>
          <w:p w:rsidR="0014310F" w:rsidRPr="000E3876" w:rsidRDefault="000C724F" w:rsidP="00AD0C9A">
            <w:pPr>
              <w:jc w:val="both"/>
              <w:rPr>
                <w:rFonts w:eastAsia="Calibri"/>
                <w:sz w:val="20"/>
                <w:szCs w:val="20"/>
              </w:rPr>
            </w:pPr>
            <w:r w:rsidRPr="000E3876">
              <w:rPr>
                <w:rFonts w:eastAsia="Calibri"/>
                <w:sz w:val="20"/>
                <w:szCs w:val="20"/>
              </w:rPr>
              <w:lastRenderedPageBreak/>
              <w:t>NPIF</w:t>
            </w:r>
          </w:p>
        </w:tc>
        <w:tc>
          <w:tcPr>
            <w:tcW w:w="408" w:type="pct"/>
            <w:shd w:val="clear" w:color="auto" w:fill="FFFFFF"/>
            <w:tcMar>
              <w:top w:w="0" w:type="dxa"/>
              <w:left w:w="115" w:type="dxa"/>
              <w:bottom w:w="0" w:type="dxa"/>
              <w:right w:w="115" w:type="dxa"/>
            </w:tcMar>
          </w:tcPr>
          <w:p w:rsidR="0014310F" w:rsidRPr="000E3876" w:rsidRDefault="009B437B" w:rsidP="001A3017">
            <w:pPr>
              <w:jc w:val="right"/>
              <w:rPr>
                <w:sz w:val="20"/>
                <w:szCs w:val="20"/>
              </w:rPr>
            </w:pPr>
            <w:r w:rsidRPr="000E3876">
              <w:rPr>
                <w:sz w:val="20"/>
                <w:szCs w:val="20"/>
              </w:rPr>
              <w:t>6</w:t>
            </w:r>
            <w:r w:rsidR="001A3017" w:rsidRPr="000E3876">
              <w:rPr>
                <w:sz w:val="20"/>
                <w:szCs w:val="20"/>
              </w:rPr>
              <w:t>3</w:t>
            </w:r>
            <w:r w:rsidRPr="000E3876">
              <w:rPr>
                <w:sz w:val="20"/>
                <w:szCs w:val="20"/>
              </w:rPr>
              <w:t>0,</w:t>
            </w:r>
            <w:r w:rsidR="001A3017" w:rsidRPr="000E3876">
              <w:rPr>
                <w:sz w:val="20"/>
                <w:szCs w:val="20"/>
              </w:rPr>
              <w:t>5</w:t>
            </w:r>
            <w:r w:rsidRPr="000E3876">
              <w:rPr>
                <w:sz w:val="20"/>
                <w:szCs w:val="20"/>
              </w:rPr>
              <w:t>00</w:t>
            </w:r>
          </w:p>
        </w:tc>
        <w:tc>
          <w:tcPr>
            <w:tcW w:w="419" w:type="pct"/>
            <w:shd w:val="clear" w:color="auto" w:fill="FFFFFF"/>
            <w:tcMar>
              <w:top w:w="0" w:type="dxa"/>
              <w:left w:w="115" w:type="dxa"/>
              <w:bottom w:w="0" w:type="dxa"/>
              <w:right w:w="115" w:type="dxa"/>
            </w:tcMar>
          </w:tcPr>
          <w:p w:rsidR="0014310F" w:rsidRPr="000E3876" w:rsidRDefault="00432041" w:rsidP="00B576FC">
            <w:pPr>
              <w:jc w:val="right"/>
              <w:rPr>
                <w:sz w:val="20"/>
                <w:szCs w:val="20"/>
              </w:rPr>
            </w:pPr>
            <w:r w:rsidRPr="000E3876">
              <w:rPr>
                <w:sz w:val="20"/>
                <w:szCs w:val="20"/>
              </w:rPr>
              <w:t>9</w:t>
            </w:r>
            <w:r w:rsidR="00B576FC" w:rsidRPr="000E3876">
              <w:rPr>
                <w:sz w:val="20"/>
                <w:szCs w:val="20"/>
              </w:rPr>
              <w:t>74</w:t>
            </w:r>
            <w:r w:rsidRPr="000E3876">
              <w:rPr>
                <w:sz w:val="20"/>
                <w:szCs w:val="20"/>
              </w:rPr>
              <w:t>,698</w:t>
            </w:r>
          </w:p>
        </w:tc>
      </w:tr>
      <w:tr w:rsidR="002B4971" w:rsidRPr="00EF009B" w:rsidTr="002B4971">
        <w:tc>
          <w:tcPr>
            <w:tcW w:w="3846" w:type="pct"/>
            <w:gridSpan w:val="4"/>
            <w:shd w:val="clear" w:color="auto" w:fill="FFFFFF"/>
            <w:tcMar>
              <w:top w:w="0" w:type="dxa"/>
              <w:left w:w="115" w:type="dxa"/>
              <w:bottom w:w="0" w:type="dxa"/>
              <w:right w:w="115" w:type="dxa"/>
            </w:tcMar>
          </w:tcPr>
          <w:p w:rsidR="00103C52" w:rsidRPr="00E00901" w:rsidRDefault="00103C52" w:rsidP="00AD0C9A">
            <w:pPr>
              <w:jc w:val="both"/>
              <w:rPr>
                <w:rFonts w:eastAsia="Calibri"/>
                <w:sz w:val="20"/>
                <w:szCs w:val="20"/>
              </w:rPr>
            </w:pPr>
            <w:r w:rsidRPr="00E00901">
              <w:rPr>
                <w:sz w:val="20"/>
                <w:szCs w:val="20"/>
              </w:rPr>
              <w:lastRenderedPageBreak/>
              <w:t>Sub-Total</w:t>
            </w:r>
          </w:p>
        </w:tc>
        <w:tc>
          <w:tcPr>
            <w:tcW w:w="327" w:type="pct"/>
            <w:shd w:val="clear" w:color="auto" w:fill="FFFFFF"/>
            <w:tcMar>
              <w:top w:w="0" w:type="dxa"/>
              <w:left w:w="115" w:type="dxa"/>
              <w:bottom w:w="0" w:type="dxa"/>
              <w:right w:w="115" w:type="dxa"/>
            </w:tcMar>
          </w:tcPr>
          <w:p w:rsidR="00103C52" w:rsidRPr="00E00901" w:rsidRDefault="00103C52" w:rsidP="00AD0C9A">
            <w:pPr>
              <w:jc w:val="both"/>
              <w:rPr>
                <w:rFonts w:eastAsia="Calibri"/>
                <w:sz w:val="20"/>
                <w:szCs w:val="20"/>
              </w:rPr>
            </w:pPr>
          </w:p>
        </w:tc>
        <w:tc>
          <w:tcPr>
            <w:tcW w:w="408" w:type="pct"/>
            <w:shd w:val="clear" w:color="auto" w:fill="FFFFFF"/>
            <w:tcMar>
              <w:top w:w="0" w:type="dxa"/>
              <w:left w:w="115" w:type="dxa"/>
              <w:bottom w:w="0" w:type="dxa"/>
              <w:right w:w="115" w:type="dxa"/>
            </w:tcMar>
          </w:tcPr>
          <w:p w:rsidR="00103C52" w:rsidRPr="000E3876" w:rsidRDefault="001A3017" w:rsidP="001A3017">
            <w:pPr>
              <w:jc w:val="right"/>
              <w:rPr>
                <w:rFonts w:eastAsia="Calibri"/>
                <w:sz w:val="20"/>
                <w:szCs w:val="20"/>
              </w:rPr>
            </w:pPr>
            <w:r w:rsidRPr="000E3876">
              <w:rPr>
                <w:rFonts w:eastAsia="Calibri"/>
                <w:sz w:val="20"/>
                <w:szCs w:val="20"/>
              </w:rPr>
              <w:t>882,7</w:t>
            </w:r>
            <w:r w:rsidR="009B437B" w:rsidRPr="000E3876">
              <w:rPr>
                <w:rFonts w:eastAsia="Calibri"/>
                <w:sz w:val="20"/>
                <w:szCs w:val="20"/>
              </w:rPr>
              <w:t>00</w:t>
            </w:r>
          </w:p>
        </w:tc>
        <w:tc>
          <w:tcPr>
            <w:tcW w:w="419" w:type="pct"/>
            <w:shd w:val="clear" w:color="auto" w:fill="FFFFFF"/>
            <w:tcMar>
              <w:top w:w="0" w:type="dxa"/>
              <w:left w:w="29" w:type="dxa"/>
              <w:bottom w:w="0" w:type="dxa"/>
              <w:right w:w="29" w:type="dxa"/>
            </w:tcMar>
          </w:tcPr>
          <w:p w:rsidR="00103C52" w:rsidRPr="00EF009B" w:rsidRDefault="00432041" w:rsidP="00A42634">
            <w:pPr>
              <w:jc w:val="right"/>
              <w:rPr>
                <w:rFonts w:eastAsia="Calibri"/>
                <w:sz w:val="20"/>
                <w:szCs w:val="20"/>
              </w:rPr>
            </w:pPr>
            <w:r w:rsidRPr="00EF009B">
              <w:rPr>
                <w:rFonts w:eastAsia="Calibri"/>
                <w:sz w:val="20"/>
                <w:szCs w:val="20"/>
              </w:rPr>
              <w:t>1,3</w:t>
            </w:r>
            <w:r w:rsidR="00B576FC" w:rsidRPr="00EF009B">
              <w:rPr>
                <w:rFonts w:eastAsia="Calibri"/>
                <w:sz w:val="20"/>
                <w:szCs w:val="20"/>
              </w:rPr>
              <w:t>64,5</w:t>
            </w:r>
            <w:r w:rsidRPr="00EF009B">
              <w:rPr>
                <w:rFonts w:eastAsia="Calibri"/>
                <w:sz w:val="20"/>
                <w:szCs w:val="20"/>
              </w:rPr>
              <w:t>7</w:t>
            </w:r>
            <w:r w:rsidR="00A42634">
              <w:rPr>
                <w:rFonts w:eastAsia="Calibri"/>
                <w:sz w:val="20"/>
                <w:szCs w:val="20"/>
              </w:rPr>
              <w:t>7</w:t>
            </w:r>
          </w:p>
        </w:tc>
      </w:tr>
      <w:tr w:rsidR="002B4971" w:rsidRPr="00EF009B" w:rsidTr="002B4971">
        <w:tc>
          <w:tcPr>
            <w:tcW w:w="3846" w:type="pct"/>
            <w:gridSpan w:val="4"/>
            <w:shd w:val="clear" w:color="auto" w:fill="FFFFFF"/>
            <w:tcMar>
              <w:top w:w="0" w:type="dxa"/>
              <w:left w:w="115" w:type="dxa"/>
              <w:bottom w:w="0" w:type="dxa"/>
              <w:right w:w="115" w:type="dxa"/>
            </w:tcMar>
          </w:tcPr>
          <w:p w:rsidR="00103C52" w:rsidRPr="00E00901" w:rsidRDefault="00103C52" w:rsidP="00AD0C9A">
            <w:pPr>
              <w:jc w:val="both"/>
              <w:rPr>
                <w:rFonts w:eastAsia="Calibri"/>
                <w:sz w:val="20"/>
                <w:szCs w:val="20"/>
              </w:rPr>
            </w:pPr>
            <w:r w:rsidRPr="00E00901">
              <w:rPr>
                <w:sz w:val="20"/>
                <w:szCs w:val="20"/>
              </w:rPr>
              <w:t>Project Management Cost</w:t>
            </w:r>
          </w:p>
        </w:tc>
        <w:tc>
          <w:tcPr>
            <w:tcW w:w="327" w:type="pct"/>
            <w:shd w:val="clear" w:color="auto" w:fill="FFFFFF"/>
            <w:tcMar>
              <w:top w:w="0" w:type="dxa"/>
              <w:left w:w="115" w:type="dxa"/>
              <w:bottom w:w="0" w:type="dxa"/>
              <w:right w:w="115" w:type="dxa"/>
            </w:tcMar>
          </w:tcPr>
          <w:p w:rsidR="00103C52" w:rsidRPr="00E00901" w:rsidRDefault="000C724F" w:rsidP="00AD0C9A">
            <w:pPr>
              <w:jc w:val="both"/>
              <w:rPr>
                <w:rFonts w:eastAsia="Calibri"/>
                <w:sz w:val="20"/>
                <w:szCs w:val="20"/>
              </w:rPr>
            </w:pPr>
            <w:r>
              <w:rPr>
                <w:rFonts w:eastAsia="Calibri"/>
                <w:sz w:val="20"/>
                <w:szCs w:val="20"/>
              </w:rPr>
              <w:t>NPIF</w:t>
            </w:r>
          </w:p>
        </w:tc>
        <w:tc>
          <w:tcPr>
            <w:tcW w:w="408" w:type="pct"/>
            <w:shd w:val="clear" w:color="auto" w:fill="FFFFFF"/>
            <w:tcMar>
              <w:top w:w="0" w:type="dxa"/>
              <w:left w:w="115" w:type="dxa"/>
              <w:bottom w:w="0" w:type="dxa"/>
              <w:right w:w="115" w:type="dxa"/>
            </w:tcMar>
          </w:tcPr>
          <w:p w:rsidR="00103C52" w:rsidRPr="000E3876" w:rsidRDefault="00D020BF" w:rsidP="001A3017">
            <w:pPr>
              <w:jc w:val="right"/>
              <w:rPr>
                <w:rFonts w:eastAsia="Calibri"/>
                <w:sz w:val="20"/>
                <w:szCs w:val="20"/>
              </w:rPr>
            </w:pPr>
            <w:r>
              <w:rPr>
                <w:rFonts w:eastAsia="Calibri"/>
                <w:sz w:val="20"/>
                <w:szCs w:val="20"/>
              </w:rPr>
              <w:t>87,300</w:t>
            </w:r>
          </w:p>
        </w:tc>
        <w:tc>
          <w:tcPr>
            <w:tcW w:w="419" w:type="pct"/>
            <w:shd w:val="clear" w:color="auto" w:fill="FFFFFF"/>
            <w:tcMar>
              <w:top w:w="0" w:type="dxa"/>
              <w:left w:w="115" w:type="dxa"/>
              <w:bottom w:w="0" w:type="dxa"/>
              <w:right w:w="115" w:type="dxa"/>
            </w:tcMar>
          </w:tcPr>
          <w:p w:rsidR="00103C52" w:rsidRPr="00EF009B" w:rsidRDefault="00432041" w:rsidP="00B576FC">
            <w:pPr>
              <w:jc w:val="right"/>
              <w:rPr>
                <w:rFonts w:eastAsia="Calibri"/>
                <w:sz w:val="20"/>
                <w:szCs w:val="20"/>
              </w:rPr>
            </w:pPr>
            <w:r w:rsidRPr="00EF009B">
              <w:rPr>
                <w:rFonts w:eastAsia="Calibri"/>
                <w:sz w:val="20"/>
                <w:szCs w:val="20"/>
              </w:rPr>
              <w:t>13</w:t>
            </w:r>
            <w:r w:rsidR="00B576FC" w:rsidRPr="00EF009B">
              <w:rPr>
                <w:rFonts w:eastAsia="Calibri"/>
                <w:sz w:val="20"/>
                <w:szCs w:val="20"/>
              </w:rPr>
              <w:t>4</w:t>
            </w:r>
            <w:r w:rsidRPr="00EF009B">
              <w:rPr>
                <w:rFonts w:eastAsia="Calibri"/>
                <w:sz w:val="20"/>
                <w:szCs w:val="20"/>
              </w:rPr>
              <w:t>,</w:t>
            </w:r>
            <w:r w:rsidR="00B576FC" w:rsidRPr="00EF009B">
              <w:rPr>
                <w:rFonts w:eastAsia="Calibri"/>
                <w:sz w:val="20"/>
                <w:szCs w:val="20"/>
              </w:rPr>
              <w:t>9</w:t>
            </w:r>
            <w:r w:rsidRPr="00EF009B">
              <w:rPr>
                <w:rFonts w:eastAsia="Calibri"/>
                <w:sz w:val="20"/>
                <w:szCs w:val="20"/>
              </w:rPr>
              <w:t>58</w:t>
            </w:r>
          </w:p>
        </w:tc>
      </w:tr>
      <w:tr w:rsidR="002B4971" w:rsidRPr="00EF009B" w:rsidTr="002B4971">
        <w:tc>
          <w:tcPr>
            <w:tcW w:w="3846" w:type="pct"/>
            <w:gridSpan w:val="4"/>
            <w:shd w:val="clear" w:color="auto" w:fill="FFFFFF"/>
            <w:tcMar>
              <w:top w:w="0" w:type="dxa"/>
              <w:left w:w="115" w:type="dxa"/>
              <w:bottom w:w="0" w:type="dxa"/>
              <w:right w:w="115" w:type="dxa"/>
            </w:tcMar>
          </w:tcPr>
          <w:p w:rsidR="00103C52" w:rsidRPr="00E00901" w:rsidRDefault="00103C52" w:rsidP="00AD0C9A">
            <w:pPr>
              <w:jc w:val="both"/>
              <w:rPr>
                <w:rFonts w:eastAsia="Calibri"/>
                <w:b/>
                <w:bCs/>
                <w:sz w:val="20"/>
                <w:szCs w:val="20"/>
              </w:rPr>
            </w:pPr>
            <w:r w:rsidRPr="00E00901">
              <w:rPr>
                <w:b/>
                <w:bCs/>
                <w:sz w:val="20"/>
                <w:szCs w:val="20"/>
              </w:rPr>
              <w:t>Total Project Costs</w:t>
            </w:r>
          </w:p>
        </w:tc>
        <w:tc>
          <w:tcPr>
            <w:tcW w:w="327" w:type="pct"/>
            <w:shd w:val="clear" w:color="auto" w:fill="FFFFFF"/>
            <w:tcMar>
              <w:top w:w="0" w:type="dxa"/>
              <w:left w:w="115" w:type="dxa"/>
              <w:bottom w:w="0" w:type="dxa"/>
              <w:right w:w="115" w:type="dxa"/>
            </w:tcMar>
          </w:tcPr>
          <w:p w:rsidR="00103C52" w:rsidRPr="00E00901" w:rsidRDefault="00103C52" w:rsidP="00AD0C9A">
            <w:pPr>
              <w:jc w:val="both"/>
              <w:rPr>
                <w:rFonts w:eastAsia="Calibri"/>
                <w:sz w:val="20"/>
                <w:szCs w:val="20"/>
              </w:rPr>
            </w:pPr>
          </w:p>
        </w:tc>
        <w:tc>
          <w:tcPr>
            <w:tcW w:w="408" w:type="pct"/>
            <w:shd w:val="clear" w:color="auto" w:fill="FFFFFF"/>
            <w:tcMar>
              <w:top w:w="0" w:type="dxa"/>
              <w:left w:w="29" w:type="dxa"/>
              <w:bottom w:w="0" w:type="dxa"/>
              <w:right w:w="29" w:type="dxa"/>
            </w:tcMar>
          </w:tcPr>
          <w:p w:rsidR="00103C52" w:rsidRPr="000E3876" w:rsidRDefault="001A3017" w:rsidP="00E00901">
            <w:pPr>
              <w:jc w:val="right"/>
              <w:rPr>
                <w:rFonts w:eastAsia="Calibri"/>
                <w:sz w:val="20"/>
                <w:szCs w:val="20"/>
              </w:rPr>
            </w:pPr>
            <w:r w:rsidRPr="000E3876">
              <w:rPr>
                <w:rFonts w:eastAsia="Calibri"/>
                <w:sz w:val="20"/>
                <w:szCs w:val="20"/>
              </w:rPr>
              <w:t>970</w:t>
            </w:r>
            <w:r w:rsidR="009B437B" w:rsidRPr="000E3876">
              <w:rPr>
                <w:rFonts w:eastAsia="Calibri"/>
                <w:sz w:val="20"/>
                <w:szCs w:val="20"/>
              </w:rPr>
              <w:t>,000</w:t>
            </w:r>
          </w:p>
        </w:tc>
        <w:tc>
          <w:tcPr>
            <w:tcW w:w="419" w:type="pct"/>
            <w:shd w:val="clear" w:color="auto" w:fill="FFFFFF"/>
            <w:tcMar>
              <w:top w:w="0" w:type="dxa"/>
              <w:left w:w="29" w:type="dxa"/>
              <w:bottom w:w="0" w:type="dxa"/>
              <w:right w:w="29" w:type="dxa"/>
            </w:tcMar>
          </w:tcPr>
          <w:p w:rsidR="00103C52" w:rsidRPr="00EF009B" w:rsidRDefault="00432041" w:rsidP="00B576FC">
            <w:pPr>
              <w:jc w:val="right"/>
              <w:rPr>
                <w:rFonts w:eastAsia="Calibri"/>
                <w:sz w:val="20"/>
                <w:szCs w:val="20"/>
              </w:rPr>
            </w:pPr>
            <w:r w:rsidRPr="00EF009B">
              <w:rPr>
                <w:rFonts w:eastAsia="Calibri"/>
                <w:sz w:val="20"/>
                <w:szCs w:val="20"/>
              </w:rPr>
              <w:t>1,4</w:t>
            </w:r>
            <w:r w:rsidR="00B576FC" w:rsidRPr="00EF009B">
              <w:rPr>
                <w:rFonts w:eastAsia="Calibri"/>
                <w:sz w:val="20"/>
                <w:szCs w:val="20"/>
              </w:rPr>
              <w:t>9</w:t>
            </w:r>
            <w:r w:rsidRPr="00EF009B">
              <w:rPr>
                <w:rFonts w:eastAsia="Calibri"/>
                <w:sz w:val="20"/>
                <w:szCs w:val="20"/>
              </w:rPr>
              <w:t>9,535</w:t>
            </w:r>
          </w:p>
        </w:tc>
      </w:tr>
    </w:tbl>
    <w:p w:rsidR="00276471" w:rsidRPr="0001061D" w:rsidRDefault="00407952" w:rsidP="00AD0C9A">
      <w:pPr>
        <w:pStyle w:val="Footer"/>
        <w:numPr>
          <w:ilvl w:val="0"/>
          <w:numId w:val="1"/>
        </w:numPr>
        <w:tabs>
          <w:tab w:val="clear" w:pos="720"/>
          <w:tab w:val="clear" w:pos="4320"/>
          <w:tab w:val="clear" w:pos="8640"/>
          <w:tab w:val="num" w:pos="-90"/>
          <w:tab w:val="left" w:pos="270"/>
        </w:tabs>
        <w:spacing w:before="240" w:after="80"/>
        <w:ind w:left="0" w:hanging="630"/>
        <w:jc w:val="both"/>
        <w:rPr>
          <w:b/>
          <w:smallCaps/>
          <w:sz w:val="22"/>
          <w:szCs w:val="22"/>
        </w:rPr>
      </w:pPr>
      <w:r w:rsidRPr="0001061D">
        <w:rPr>
          <w:b/>
          <w:smallCaps/>
          <w:sz w:val="22"/>
          <w:szCs w:val="22"/>
        </w:rPr>
        <w:t>Indicative Co-financing for the project by source and by name if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4059"/>
        <w:gridCol w:w="1770"/>
        <w:gridCol w:w="1322"/>
      </w:tblGrid>
      <w:tr w:rsidR="000C724F" w:rsidRPr="0001061D" w:rsidTr="000C724F">
        <w:trPr>
          <w:cantSplit/>
        </w:trPr>
        <w:tc>
          <w:tcPr>
            <w:tcW w:w="1754" w:type="pct"/>
            <w:vAlign w:val="center"/>
          </w:tcPr>
          <w:p w:rsidR="000C724F" w:rsidRPr="0001061D" w:rsidRDefault="000C724F" w:rsidP="00AE655E">
            <w:pPr>
              <w:ind w:left="-57" w:right="-57"/>
              <w:jc w:val="center"/>
              <w:rPr>
                <w:b/>
                <w:sz w:val="20"/>
                <w:szCs w:val="20"/>
              </w:rPr>
            </w:pPr>
            <w:r w:rsidRPr="0001061D">
              <w:rPr>
                <w:b/>
                <w:sz w:val="20"/>
                <w:szCs w:val="20"/>
              </w:rPr>
              <w:t>Sources of Co-financing</w:t>
            </w:r>
          </w:p>
        </w:tc>
        <w:tc>
          <w:tcPr>
            <w:tcW w:w="1842" w:type="pct"/>
            <w:vAlign w:val="center"/>
          </w:tcPr>
          <w:p w:rsidR="000C724F" w:rsidRPr="0001061D" w:rsidRDefault="000C724F" w:rsidP="00AE655E">
            <w:pPr>
              <w:ind w:left="-57" w:right="-57"/>
              <w:jc w:val="center"/>
              <w:rPr>
                <w:b/>
                <w:sz w:val="20"/>
                <w:szCs w:val="20"/>
              </w:rPr>
            </w:pPr>
            <w:r w:rsidRPr="0001061D">
              <w:rPr>
                <w:b/>
                <w:sz w:val="20"/>
                <w:szCs w:val="20"/>
              </w:rPr>
              <w:t>Name of Co-financier</w:t>
            </w:r>
          </w:p>
        </w:tc>
        <w:tc>
          <w:tcPr>
            <w:tcW w:w="803" w:type="pct"/>
            <w:shd w:val="clear" w:color="auto" w:fill="auto"/>
            <w:vAlign w:val="center"/>
          </w:tcPr>
          <w:p w:rsidR="000C724F" w:rsidRPr="0001061D" w:rsidRDefault="000C724F" w:rsidP="00AE655E">
            <w:pPr>
              <w:ind w:left="-110" w:right="-105"/>
              <w:jc w:val="center"/>
              <w:rPr>
                <w:b/>
                <w:sz w:val="20"/>
                <w:szCs w:val="20"/>
              </w:rPr>
            </w:pPr>
            <w:r w:rsidRPr="0001061D">
              <w:rPr>
                <w:b/>
                <w:sz w:val="20"/>
                <w:szCs w:val="20"/>
              </w:rPr>
              <w:t>Type of Co-financing</w:t>
            </w:r>
          </w:p>
        </w:tc>
        <w:tc>
          <w:tcPr>
            <w:tcW w:w="600" w:type="pct"/>
          </w:tcPr>
          <w:p w:rsidR="000C724F" w:rsidRPr="0001061D" w:rsidRDefault="000C724F" w:rsidP="00AE655E">
            <w:pPr>
              <w:ind w:left="-57" w:right="-57"/>
              <w:jc w:val="center"/>
              <w:rPr>
                <w:b/>
                <w:sz w:val="20"/>
                <w:szCs w:val="20"/>
              </w:rPr>
            </w:pPr>
            <w:r w:rsidRPr="0001061D">
              <w:rPr>
                <w:b/>
                <w:sz w:val="20"/>
                <w:szCs w:val="20"/>
              </w:rPr>
              <w:t>Amount ($)</w:t>
            </w:r>
          </w:p>
        </w:tc>
      </w:tr>
      <w:tr w:rsidR="000C724F" w:rsidRPr="00074209" w:rsidTr="000C724F">
        <w:trPr>
          <w:cantSplit/>
        </w:trPr>
        <w:tc>
          <w:tcPr>
            <w:tcW w:w="1754" w:type="pct"/>
          </w:tcPr>
          <w:p w:rsidR="000C724F" w:rsidRPr="00074209" w:rsidRDefault="000C724F" w:rsidP="00AD0C9A">
            <w:pPr>
              <w:jc w:val="both"/>
              <w:rPr>
                <w:sz w:val="20"/>
                <w:szCs w:val="20"/>
              </w:rPr>
            </w:pPr>
            <w:r w:rsidRPr="00074209">
              <w:rPr>
                <w:sz w:val="20"/>
                <w:szCs w:val="20"/>
              </w:rPr>
              <w:t>National Government</w:t>
            </w:r>
          </w:p>
        </w:tc>
        <w:tc>
          <w:tcPr>
            <w:tcW w:w="1842" w:type="pct"/>
          </w:tcPr>
          <w:p w:rsidR="000C724F" w:rsidRPr="00074209" w:rsidRDefault="000C724F" w:rsidP="00C051F9">
            <w:pPr>
              <w:rPr>
                <w:sz w:val="20"/>
                <w:szCs w:val="20"/>
              </w:rPr>
            </w:pPr>
            <w:r w:rsidRPr="00074209">
              <w:rPr>
                <w:sz w:val="20"/>
                <w:szCs w:val="20"/>
              </w:rPr>
              <w:t>National Environment Service</w:t>
            </w:r>
          </w:p>
        </w:tc>
        <w:tc>
          <w:tcPr>
            <w:tcW w:w="803" w:type="pct"/>
            <w:shd w:val="clear" w:color="auto" w:fill="auto"/>
          </w:tcPr>
          <w:p w:rsidR="000C724F" w:rsidRPr="00074209" w:rsidRDefault="000C724F" w:rsidP="00AD0C9A">
            <w:pPr>
              <w:ind w:left="5"/>
              <w:jc w:val="both"/>
              <w:rPr>
                <w:sz w:val="20"/>
                <w:szCs w:val="20"/>
              </w:rPr>
            </w:pPr>
            <w:r w:rsidRPr="00074209">
              <w:rPr>
                <w:sz w:val="20"/>
                <w:szCs w:val="20"/>
              </w:rPr>
              <w:t>In-kind</w:t>
            </w:r>
          </w:p>
        </w:tc>
        <w:tc>
          <w:tcPr>
            <w:tcW w:w="600" w:type="pct"/>
            <w:vAlign w:val="bottom"/>
          </w:tcPr>
          <w:p w:rsidR="000C724F" w:rsidRPr="00810EA4" w:rsidRDefault="009D50A9" w:rsidP="00533196">
            <w:pPr>
              <w:jc w:val="right"/>
              <w:rPr>
                <w:color w:val="000000"/>
                <w:sz w:val="20"/>
                <w:szCs w:val="20"/>
              </w:rPr>
            </w:pPr>
            <w:r w:rsidRPr="00810EA4">
              <w:rPr>
                <w:color w:val="000000"/>
                <w:sz w:val="20"/>
                <w:szCs w:val="20"/>
              </w:rPr>
              <w:t>15</w:t>
            </w:r>
            <w:r w:rsidR="00533196" w:rsidRPr="00810EA4">
              <w:rPr>
                <w:color w:val="000000"/>
                <w:sz w:val="20"/>
                <w:szCs w:val="20"/>
              </w:rPr>
              <w:t>0,000</w:t>
            </w:r>
          </w:p>
        </w:tc>
      </w:tr>
      <w:tr w:rsidR="000C724F" w:rsidRPr="00074209" w:rsidTr="000C724F">
        <w:trPr>
          <w:cantSplit/>
        </w:trPr>
        <w:tc>
          <w:tcPr>
            <w:tcW w:w="1754" w:type="pct"/>
          </w:tcPr>
          <w:p w:rsidR="000C724F" w:rsidRPr="00074209" w:rsidRDefault="000C724F" w:rsidP="00AD0C9A">
            <w:pPr>
              <w:jc w:val="both"/>
              <w:rPr>
                <w:sz w:val="20"/>
                <w:szCs w:val="20"/>
              </w:rPr>
            </w:pPr>
            <w:r w:rsidRPr="00074209">
              <w:rPr>
                <w:sz w:val="20"/>
                <w:szCs w:val="20"/>
              </w:rPr>
              <w:t>National Government</w:t>
            </w:r>
          </w:p>
        </w:tc>
        <w:tc>
          <w:tcPr>
            <w:tcW w:w="1842" w:type="pct"/>
          </w:tcPr>
          <w:p w:rsidR="000C724F" w:rsidRPr="00074209" w:rsidRDefault="000C724F" w:rsidP="00C051F9">
            <w:pPr>
              <w:rPr>
                <w:sz w:val="20"/>
                <w:szCs w:val="20"/>
              </w:rPr>
            </w:pPr>
            <w:r w:rsidRPr="00074209">
              <w:rPr>
                <w:sz w:val="20"/>
                <w:szCs w:val="20"/>
              </w:rPr>
              <w:t>Crown Law</w:t>
            </w:r>
          </w:p>
        </w:tc>
        <w:tc>
          <w:tcPr>
            <w:tcW w:w="803" w:type="pct"/>
            <w:shd w:val="clear" w:color="auto" w:fill="auto"/>
          </w:tcPr>
          <w:p w:rsidR="000C724F" w:rsidRPr="00074209" w:rsidRDefault="000C724F" w:rsidP="00AD0C9A">
            <w:pPr>
              <w:ind w:left="5"/>
              <w:jc w:val="both"/>
              <w:rPr>
                <w:sz w:val="20"/>
                <w:szCs w:val="20"/>
              </w:rPr>
            </w:pPr>
            <w:r w:rsidRPr="00074209">
              <w:rPr>
                <w:sz w:val="20"/>
                <w:szCs w:val="20"/>
              </w:rPr>
              <w:t>In-kind</w:t>
            </w:r>
          </w:p>
        </w:tc>
        <w:tc>
          <w:tcPr>
            <w:tcW w:w="600" w:type="pct"/>
            <w:vAlign w:val="bottom"/>
          </w:tcPr>
          <w:p w:rsidR="000C724F" w:rsidRPr="00810EA4" w:rsidRDefault="00354D45" w:rsidP="00354D45">
            <w:pPr>
              <w:jc w:val="right"/>
              <w:rPr>
                <w:color w:val="000000"/>
                <w:sz w:val="20"/>
                <w:szCs w:val="20"/>
              </w:rPr>
            </w:pPr>
            <w:r w:rsidRPr="00810EA4">
              <w:rPr>
                <w:color w:val="000000"/>
                <w:sz w:val="20"/>
                <w:szCs w:val="20"/>
              </w:rPr>
              <w:t>15</w:t>
            </w:r>
            <w:r w:rsidR="00533196" w:rsidRPr="00810EA4">
              <w:rPr>
                <w:color w:val="000000"/>
                <w:sz w:val="20"/>
                <w:szCs w:val="20"/>
              </w:rPr>
              <w:t>0,000</w:t>
            </w:r>
          </w:p>
        </w:tc>
      </w:tr>
      <w:tr w:rsidR="000C724F" w:rsidRPr="00074209" w:rsidTr="000C724F">
        <w:trPr>
          <w:cantSplit/>
        </w:trPr>
        <w:tc>
          <w:tcPr>
            <w:tcW w:w="1754" w:type="pct"/>
          </w:tcPr>
          <w:p w:rsidR="000C724F" w:rsidRPr="00074209" w:rsidRDefault="000C724F" w:rsidP="00897F0E">
            <w:pPr>
              <w:jc w:val="both"/>
              <w:rPr>
                <w:sz w:val="20"/>
                <w:szCs w:val="20"/>
              </w:rPr>
            </w:pPr>
            <w:r w:rsidRPr="00074209">
              <w:rPr>
                <w:sz w:val="20"/>
                <w:szCs w:val="20"/>
              </w:rPr>
              <w:t>National Government</w:t>
            </w:r>
          </w:p>
        </w:tc>
        <w:tc>
          <w:tcPr>
            <w:tcW w:w="1842" w:type="pct"/>
          </w:tcPr>
          <w:p w:rsidR="000C724F" w:rsidRPr="00074209" w:rsidRDefault="000C724F" w:rsidP="00C051F9">
            <w:pPr>
              <w:rPr>
                <w:sz w:val="20"/>
                <w:szCs w:val="20"/>
              </w:rPr>
            </w:pPr>
            <w:r w:rsidRPr="00074209">
              <w:rPr>
                <w:sz w:val="20"/>
                <w:szCs w:val="20"/>
              </w:rPr>
              <w:t>Min. of Finance &amp; Economic Management (MFEM)</w:t>
            </w:r>
          </w:p>
        </w:tc>
        <w:tc>
          <w:tcPr>
            <w:tcW w:w="803" w:type="pct"/>
            <w:shd w:val="clear" w:color="auto" w:fill="auto"/>
          </w:tcPr>
          <w:p w:rsidR="000C724F" w:rsidRPr="00074209" w:rsidRDefault="000C724F" w:rsidP="00AD0C9A">
            <w:pPr>
              <w:ind w:left="5"/>
              <w:jc w:val="both"/>
              <w:rPr>
                <w:sz w:val="20"/>
                <w:szCs w:val="20"/>
              </w:rPr>
            </w:pPr>
            <w:r w:rsidRPr="00074209">
              <w:rPr>
                <w:sz w:val="20"/>
                <w:szCs w:val="20"/>
              </w:rPr>
              <w:t>In-kind</w:t>
            </w:r>
          </w:p>
        </w:tc>
        <w:tc>
          <w:tcPr>
            <w:tcW w:w="600" w:type="pct"/>
            <w:vAlign w:val="bottom"/>
          </w:tcPr>
          <w:p w:rsidR="000C724F" w:rsidRPr="00810EA4" w:rsidRDefault="00354D45" w:rsidP="00533196">
            <w:pPr>
              <w:jc w:val="right"/>
              <w:rPr>
                <w:color w:val="000000"/>
                <w:sz w:val="20"/>
                <w:szCs w:val="20"/>
              </w:rPr>
            </w:pPr>
            <w:r w:rsidRPr="00810EA4">
              <w:rPr>
                <w:color w:val="000000"/>
                <w:sz w:val="20"/>
                <w:szCs w:val="20"/>
              </w:rPr>
              <w:t>5</w:t>
            </w:r>
            <w:r w:rsidR="00533196" w:rsidRPr="00810EA4">
              <w:rPr>
                <w:color w:val="000000"/>
                <w:sz w:val="20"/>
                <w:szCs w:val="20"/>
              </w:rPr>
              <w:t>0,000</w:t>
            </w:r>
          </w:p>
        </w:tc>
      </w:tr>
      <w:tr w:rsidR="00355372" w:rsidRPr="00074209" w:rsidTr="000C724F">
        <w:trPr>
          <w:cantSplit/>
        </w:trPr>
        <w:tc>
          <w:tcPr>
            <w:tcW w:w="1754" w:type="pct"/>
          </w:tcPr>
          <w:p w:rsidR="00355372" w:rsidRPr="00EF009B" w:rsidRDefault="00355372" w:rsidP="00897F0E">
            <w:pPr>
              <w:jc w:val="both"/>
              <w:rPr>
                <w:sz w:val="20"/>
                <w:szCs w:val="20"/>
              </w:rPr>
            </w:pPr>
            <w:r w:rsidRPr="00EF009B">
              <w:rPr>
                <w:sz w:val="20"/>
                <w:szCs w:val="20"/>
              </w:rPr>
              <w:t>National Government</w:t>
            </w:r>
          </w:p>
        </w:tc>
        <w:tc>
          <w:tcPr>
            <w:tcW w:w="1842" w:type="pct"/>
          </w:tcPr>
          <w:p w:rsidR="00355372" w:rsidRPr="00EF009B" w:rsidRDefault="00355372" w:rsidP="00354D45">
            <w:pPr>
              <w:rPr>
                <w:sz w:val="20"/>
                <w:szCs w:val="20"/>
              </w:rPr>
            </w:pPr>
            <w:r w:rsidRPr="00EF009B">
              <w:rPr>
                <w:sz w:val="20"/>
                <w:szCs w:val="20"/>
              </w:rPr>
              <w:t>M</w:t>
            </w:r>
            <w:r w:rsidR="00354D45" w:rsidRPr="00EF009B">
              <w:rPr>
                <w:sz w:val="20"/>
                <w:szCs w:val="20"/>
              </w:rPr>
              <w:t>inistry of Cultural Development</w:t>
            </w:r>
          </w:p>
        </w:tc>
        <w:tc>
          <w:tcPr>
            <w:tcW w:w="803" w:type="pct"/>
            <w:shd w:val="clear" w:color="auto" w:fill="auto"/>
          </w:tcPr>
          <w:p w:rsidR="00355372" w:rsidRPr="00EF009B" w:rsidRDefault="00CC2587" w:rsidP="00AD0C9A">
            <w:pPr>
              <w:ind w:left="5"/>
              <w:jc w:val="both"/>
              <w:rPr>
                <w:sz w:val="20"/>
                <w:szCs w:val="20"/>
              </w:rPr>
            </w:pPr>
            <w:r w:rsidRPr="00EF009B">
              <w:rPr>
                <w:sz w:val="20"/>
                <w:szCs w:val="20"/>
              </w:rPr>
              <w:t>In kind</w:t>
            </w:r>
          </w:p>
        </w:tc>
        <w:tc>
          <w:tcPr>
            <w:tcW w:w="600" w:type="pct"/>
            <w:vAlign w:val="bottom"/>
          </w:tcPr>
          <w:p w:rsidR="00355372" w:rsidRPr="00EF009B" w:rsidRDefault="00355372" w:rsidP="00355372">
            <w:pPr>
              <w:jc w:val="right"/>
              <w:rPr>
                <w:color w:val="000000"/>
                <w:sz w:val="20"/>
                <w:szCs w:val="20"/>
              </w:rPr>
            </w:pPr>
            <w:r w:rsidRPr="00EF009B">
              <w:rPr>
                <w:color w:val="000000"/>
                <w:sz w:val="20"/>
                <w:szCs w:val="20"/>
              </w:rPr>
              <w:t>50</w:t>
            </w:r>
            <w:r w:rsidR="00620B56" w:rsidRPr="00EF009B">
              <w:rPr>
                <w:color w:val="000000"/>
                <w:sz w:val="20"/>
                <w:szCs w:val="20"/>
              </w:rPr>
              <w:t>,</w:t>
            </w:r>
            <w:r w:rsidRPr="00EF009B">
              <w:rPr>
                <w:color w:val="000000"/>
                <w:sz w:val="20"/>
                <w:szCs w:val="20"/>
              </w:rPr>
              <w:t>000</w:t>
            </w:r>
          </w:p>
        </w:tc>
      </w:tr>
      <w:tr w:rsidR="00BA1AC9" w:rsidRPr="00074209" w:rsidTr="000C724F">
        <w:trPr>
          <w:cantSplit/>
        </w:trPr>
        <w:tc>
          <w:tcPr>
            <w:tcW w:w="1754" w:type="pct"/>
          </w:tcPr>
          <w:p w:rsidR="00BA1AC9" w:rsidRPr="00EF009B" w:rsidRDefault="00BA1AC9" w:rsidP="00897F0E">
            <w:pPr>
              <w:jc w:val="both"/>
              <w:rPr>
                <w:sz w:val="20"/>
                <w:szCs w:val="20"/>
              </w:rPr>
            </w:pPr>
            <w:r w:rsidRPr="00EF009B">
              <w:rPr>
                <w:sz w:val="20"/>
                <w:szCs w:val="20"/>
              </w:rPr>
              <w:t>National Government</w:t>
            </w:r>
          </w:p>
        </w:tc>
        <w:tc>
          <w:tcPr>
            <w:tcW w:w="1842" w:type="pct"/>
          </w:tcPr>
          <w:p w:rsidR="00BA1AC9" w:rsidRPr="00EF009B" w:rsidRDefault="00BA1AC9" w:rsidP="00354D45">
            <w:pPr>
              <w:rPr>
                <w:sz w:val="20"/>
                <w:szCs w:val="20"/>
              </w:rPr>
            </w:pPr>
            <w:r w:rsidRPr="00EF009B">
              <w:rPr>
                <w:sz w:val="20"/>
                <w:szCs w:val="20"/>
              </w:rPr>
              <w:t>Office of the Prime Minister</w:t>
            </w:r>
          </w:p>
        </w:tc>
        <w:tc>
          <w:tcPr>
            <w:tcW w:w="803" w:type="pct"/>
            <w:shd w:val="clear" w:color="auto" w:fill="auto"/>
          </w:tcPr>
          <w:p w:rsidR="00BA1AC9" w:rsidRPr="00EF009B" w:rsidRDefault="00BA1AC9" w:rsidP="00AD0C9A">
            <w:pPr>
              <w:ind w:left="5"/>
              <w:jc w:val="both"/>
              <w:rPr>
                <w:sz w:val="20"/>
                <w:szCs w:val="20"/>
              </w:rPr>
            </w:pPr>
            <w:r w:rsidRPr="00EF009B">
              <w:rPr>
                <w:sz w:val="20"/>
                <w:szCs w:val="20"/>
              </w:rPr>
              <w:t>In-kind</w:t>
            </w:r>
          </w:p>
        </w:tc>
        <w:tc>
          <w:tcPr>
            <w:tcW w:w="600" w:type="pct"/>
            <w:vAlign w:val="bottom"/>
          </w:tcPr>
          <w:p w:rsidR="00BA1AC9" w:rsidRPr="00EF009B" w:rsidRDefault="009D50A9" w:rsidP="00355372">
            <w:pPr>
              <w:jc w:val="right"/>
              <w:rPr>
                <w:color w:val="000000"/>
                <w:sz w:val="20"/>
                <w:szCs w:val="20"/>
              </w:rPr>
            </w:pPr>
            <w:r w:rsidRPr="00EF009B">
              <w:rPr>
                <w:color w:val="000000"/>
                <w:sz w:val="20"/>
                <w:szCs w:val="20"/>
              </w:rPr>
              <w:t>50,000</w:t>
            </w:r>
          </w:p>
        </w:tc>
      </w:tr>
      <w:tr w:rsidR="000B16F0" w:rsidRPr="00074209" w:rsidTr="000C724F">
        <w:trPr>
          <w:cantSplit/>
        </w:trPr>
        <w:tc>
          <w:tcPr>
            <w:tcW w:w="1754" w:type="pct"/>
          </w:tcPr>
          <w:p w:rsidR="000B16F0" w:rsidRPr="00EF009B" w:rsidRDefault="000B16F0" w:rsidP="00AD0C9A">
            <w:pPr>
              <w:jc w:val="both"/>
              <w:rPr>
                <w:sz w:val="20"/>
                <w:szCs w:val="20"/>
              </w:rPr>
            </w:pPr>
            <w:r w:rsidRPr="00EF009B">
              <w:rPr>
                <w:sz w:val="20"/>
                <w:szCs w:val="20"/>
              </w:rPr>
              <w:t>National Government</w:t>
            </w:r>
          </w:p>
        </w:tc>
        <w:tc>
          <w:tcPr>
            <w:tcW w:w="1842" w:type="pct"/>
          </w:tcPr>
          <w:p w:rsidR="000B16F0" w:rsidRPr="00EF009B" w:rsidRDefault="000B16F0" w:rsidP="00C051F9">
            <w:pPr>
              <w:rPr>
                <w:sz w:val="20"/>
                <w:szCs w:val="20"/>
              </w:rPr>
            </w:pPr>
            <w:r w:rsidRPr="00EF009B">
              <w:rPr>
                <w:sz w:val="20"/>
                <w:szCs w:val="20"/>
              </w:rPr>
              <w:t>Natural Heritage Trust</w:t>
            </w:r>
          </w:p>
        </w:tc>
        <w:tc>
          <w:tcPr>
            <w:tcW w:w="803" w:type="pct"/>
            <w:shd w:val="clear" w:color="auto" w:fill="auto"/>
          </w:tcPr>
          <w:p w:rsidR="000B16F0" w:rsidRPr="00EF009B" w:rsidRDefault="000B16F0" w:rsidP="00AD0C9A">
            <w:pPr>
              <w:ind w:left="5"/>
              <w:jc w:val="both"/>
              <w:rPr>
                <w:sz w:val="20"/>
                <w:szCs w:val="20"/>
              </w:rPr>
            </w:pPr>
            <w:r w:rsidRPr="00EF009B">
              <w:rPr>
                <w:sz w:val="20"/>
                <w:szCs w:val="20"/>
              </w:rPr>
              <w:t>In-kind</w:t>
            </w:r>
          </w:p>
        </w:tc>
        <w:tc>
          <w:tcPr>
            <w:tcW w:w="600" w:type="pct"/>
            <w:vAlign w:val="bottom"/>
          </w:tcPr>
          <w:p w:rsidR="000B16F0" w:rsidRPr="00EF009B" w:rsidRDefault="000B16F0" w:rsidP="00533196">
            <w:pPr>
              <w:jc w:val="right"/>
              <w:rPr>
                <w:color w:val="000000"/>
                <w:sz w:val="20"/>
                <w:szCs w:val="20"/>
              </w:rPr>
            </w:pPr>
            <w:r w:rsidRPr="00EF009B">
              <w:rPr>
                <w:color w:val="000000"/>
                <w:sz w:val="20"/>
                <w:szCs w:val="20"/>
              </w:rPr>
              <w:t>20,000</w:t>
            </w:r>
          </w:p>
        </w:tc>
      </w:tr>
      <w:tr w:rsidR="000C724F" w:rsidRPr="00074209" w:rsidTr="000C724F">
        <w:trPr>
          <w:cantSplit/>
        </w:trPr>
        <w:tc>
          <w:tcPr>
            <w:tcW w:w="1754" w:type="pct"/>
          </w:tcPr>
          <w:p w:rsidR="000C724F" w:rsidRPr="00EF009B" w:rsidRDefault="000C724F" w:rsidP="00AD0C9A">
            <w:pPr>
              <w:jc w:val="both"/>
              <w:rPr>
                <w:sz w:val="20"/>
                <w:szCs w:val="20"/>
              </w:rPr>
            </w:pPr>
            <w:r w:rsidRPr="00EF009B">
              <w:rPr>
                <w:sz w:val="20"/>
                <w:szCs w:val="20"/>
              </w:rPr>
              <w:t>Local Gov’t</w:t>
            </w:r>
          </w:p>
        </w:tc>
        <w:tc>
          <w:tcPr>
            <w:tcW w:w="1842" w:type="pct"/>
          </w:tcPr>
          <w:p w:rsidR="000C724F" w:rsidRPr="00EF009B" w:rsidRDefault="000C724F" w:rsidP="00C051F9">
            <w:pPr>
              <w:rPr>
                <w:sz w:val="20"/>
                <w:szCs w:val="20"/>
              </w:rPr>
            </w:pPr>
            <w:r w:rsidRPr="00EF009B">
              <w:rPr>
                <w:sz w:val="20"/>
                <w:szCs w:val="20"/>
              </w:rPr>
              <w:t>Island Council</w:t>
            </w:r>
          </w:p>
        </w:tc>
        <w:tc>
          <w:tcPr>
            <w:tcW w:w="803" w:type="pct"/>
            <w:shd w:val="clear" w:color="auto" w:fill="auto"/>
          </w:tcPr>
          <w:p w:rsidR="000C724F" w:rsidRPr="00EF009B" w:rsidRDefault="00533196" w:rsidP="00AD0C9A">
            <w:pPr>
              <w:ind w:left="5"/>
              <w:jc w:val="both"/>
              <w:rPr>
                <w:sz w:val="20"/>
                <w:szCs w:val="20"/>
              </w:rPr>
            </w:pPr>
            <w:r w:rsidRPr="00EF009B">
              <w:rPr>
                <w:sz w:val="20"/>
                <w:szCs w:val="20"/>
              </w:rPr>
              <w:t>In-k</w:t>
            </w:r>
            <w:r w:rsidR="000C724F" w:rsidRPr="00EF009B">
              <w:rPr>
                <w:sz w:val="20"/>
                <w:szCs w:val="20"/>
              </w:rPr>
              <w:t>ind</w:t>
            </w:r>
          </w:p>
        </w:tc>
        <w:tc>
          <w:tcPr>
            <w:tcW w:w="600" w:type="pct"/>
            <w:vAlign w:val="bottom"/>
          </w:tcPr>
          <w:p w:rsidR="000C724F" w:rsidRPr="00EF009B" w:rsidRDefault="00533196" w:rsidP="00533196">
            <w:pPr>
              <w:jc w:val="right"/>
              <w:rPr>
                <w:color w:val="000000"/>
                <w:sz w:val="20"/>
                <w:szCs w:val="20"/>
              </w:rPr>
            </w:pPr>
            <w:r w:rsidRPr="00EF009B">
              <w:rPr>
                <w:color w:val="000000"/>
                <w:sz w:val="20"/>
                <w:szCs w:val="20"/>
              </w:rPr>
              <w:t>50,000</w:t>
            </w:r>
          </w:p>
        </w:tc>
      </w:tr>
      <w:tr w:rsidR="000C724F" w:rsidRPr="00074209" w:rsidTr="000C724F">
        <w:trPr>
          <w:cantSplit/>
        </w:trPr>
        <w:tc>
          <w:tcPr>
            <w:tcW w:w="1754" w:type="pct"/>
          </w:tcPr>
          <w:p w:rsidR="000C724F" w:rsidRPr="00EF009B" w:rsidRDefault="000C724F" w:rsidP="00AD0C9A">
            <w:pPr>
              <w:jc w:val="both"/>
              <w:rPr>
                <w:sz w:val="20"/>
                <w:szCs w:val="20"/>
              </w:rPr>
            </w:pPr>
            <w:r w:rsidRPr="00EF009B">
              <w:rPr>
                <w:sz w:val="20"/>
                <w:szCs w:val="20"/>
              </w:rPr>
              <w:t>NGO</w:t>
            </w:r>
          </w:p>
        </w:tc>
        <w:tc>
          <w:tcPr>
            <w:tcW w:w="1842" w:type="pct"/>
          </w:tcPr>
          <w:p w:rsidR="000C724F" w:rsidRPr="00EF009B" w:rsidRDefault="000C724F" w:rsidP="00C051F9">
            <w:pPr>
              <w:rPr>
                <w:sz w:val="20"/>
                <w:szCs w:val="20"/>
              </w:rPr>
            </w:pPr>
            <w:proofErr w:type="spellStart"/>
            <w:r w:rsidRPr="00EF009B">
              <w:rPr>
                <w:sz w:val="20"/>
                <w:szCs w:val="20"/>
              </w:rPr>
              <w:t>Aronga</w:t>
            </w:r>
            <w:proofErr w:type="spellEnd"/>
            <w:r w:rsidRPr="00EF009B">
              <w:rPr>
                <w:sz w:val="20"/>
                <w:szCs w:val="20"/>
              </w:rPr>
              <w:t xml:space="preserve"> </w:t>
            </w:r>
            <w:proofErr w:type="spellStart"/>
            <w:r w:rsidRPr="00EF009B">
              <w:rPr>
                <w:sz w:val="20"/>
                <w:szCs w:val="20"/>
              </w:rPr>
              <w:t>Mana</w:t>
            </w:r>
            <w:proofErr w:type="spellEnd"/>
          </w:p>
        </w:tc>
        <w:tc>
          <w:tcPr>
            <w:tcW w:w="803" w:type="pct"/>
            <w:shd w:val="clear" w:color="auto" w:fill="auto"/>
          </w:tcPr>
          <w:p w:rsidR="000C724F" w:rsidRPr="00EF009B" w:rsidRDefault="00533196" w:rsidP="00AD0C9A">
            <w:pPr>
              <w:ind w:left="5"/>
              <w:jc w:val="both"/>
              <w:rPr>
                <w:sz w:val="20"/>
                <w:szCs w:val="20"/>
              </w:rPr>
            </w:pPr>
            <w:r w:rsidRPr="00EF009B">
              <w:rPr>
                <w:sz w:val="20"/>
                <w:szCs w:val="20"/>
              </w:rPr>
              <w:t>In-kind</w:t>
            </w:r>
          </w:p>
        </w:tc>
        <w:tc>
          <w:tcPr>
            <w:tcW w:w="600" w:type="pct"/>
            <w:vAlign w:val="bottom"/>
          </w:tcPr>
          <w:p w:rsidR="000C724F" w:rsidRPr="00EF009B" w:rsidRDefault="00533196" w:rsidP="00533196">
            <w:pPr>
              <w:jc w:val="right"/>
              <w:rPr>
                <w:color w:val="000000"/>
                <w:sz w:val="20"/>
                <w:szCs w:val="20"/>
              </w:rPr>
            </w:pPr>
            <w:r w:rsidRPr="00EF009B">
              <w:rPr>
                <w:color w:val="000000"/>
                <w:sz w:val="20"/>
                <w:szCs w:val="20"/>
              </w:rPr>
              <w:t>50,000</w:t>
            </w:r>
          </w:p>
        </w:tc>
      </w:tr>
      <w:tr w:rsidR="000C724F" w:rsidRPr="00074209" w:rsidTr="000C724F">
        <w:trPr>
          <w:cantSplit/>
        </w:trPr>
        <w:tc>
          <w:tcPr>
            <w:tcW w:w="1754" w:type="pct"/>
          </w:tcPr>
          <w:p w:rsidR="000C724F" w:rsidRPr="00EF009B" w:rsidRDefault="000C724F" w:rsidP="00AD0C9A">
            <w:pPr>
              <w:jc w:val="both"/>
              <w:rPr>
                <w:sz w:val="20"/>
                <w:szCs w:val="20"/>
              </w:rPr>
            </w:pPr>
            <w:r w:rsidRPr="00EF009B">
              <w:rPr>
                <w:sz w:val="20"/>
                <w:szCs w:val="20"/>
              </w:rPr>
              <w:t>NGO</w:t>
            </w:r>
          </w:p>
        </w:tc>
        <w:tc>
          <w:tcPr>
            <w:tcW w:w="1842" w:type="pct"/>
          </w:tcPr>
          <w:p w:rsidR="000C724F" w:rsidRPr="00EF009B" w:rsidRDefault="000C724F" w:rsidP="00C051F9">
            <w:pPr>
              <w:rPr>
                <w:sz w:val="20"/>
                <w:szCs w:val="20"/>
              </w:rPr>
            </w:pPr>
            <w:proofErr w:type="spellStart"/>
            <w:r w:rsidRPr="00EF009B">
              <w:rPr>
                <w:sz w:val="20"/>
                <w:szCs w:val="20"/>
              </w:rPr>
              <w:t>Te</w:t>
            </w:r>
            <w:proofErr w:type="spellEnd"/>
            <w:r w:rsidRPr="00EF009B">
              <w:rPr>
                <w:sz w:val="20"/>
                <w:szCs w:val="20"/>
              </w:rPr>
              <w:t xml:space="preserve"> </w:t>
            </w:r>
            <w:proofErr w:type="spellStart"/>
            <w:r w:rsidRPr="00EF009B">
              <w:rPr>
                <w:sz w:val="20"/>
                <w:szCs w:val="20"/>
              </w:rPr>
              <w:t>Ipukarea</w:t>
            </w:r>
            <w:proofErr w:type="spellEnd"/>
            <w:r w:rsidRPr="00EF009B">
              <w:rPr>
                <w:sz w:val="20"/>
                <w:szCs w:val="20"/>
              </w:rPr>
              <w:t xml:space="preserve"> Society</w:t>
            </w:r>
          </w:p>
        </w:tc>
        <w:tc>
          <w:tcPr>
            <w:tcW w:w="803" w:type="pct"/>
            <w:shd w:val="clear" w:color="auto" w:fill="auto"/>
          </w:tcPr>
          <w:p w:rsidR="000C724F" w:rsidRPr="00EF009B" w:rsidRDefault="00533196" w:rsidP="00AD0C9A">
            <w:pPr>
              <w:ind w:left="5"/>
              <w:jc w:val="both"/>
              <w:rPr>
                <w:sz w:val="20"/>
                <w:szCs w:val="20"/>
              </w:rPr>
            </w:pPr>
            <w:r w:rsidRPr="00EF009B">
              <w:rPr>
                <w:sz w:val="20"/>
                <w:szCs w:val="20"/>
              </w:rPr>
              <w:t>In-k</w:t>
            </w:r>
            <w:r w:rsidR="000C724F" w:rsidRPr="00EF009B">
              <w:rPr>
                <w:sz w:val="20"/>
                <w:szCs w:val="20"/>
              </w:rPr>
              <w:t>ind</w:t>
            </w:r>
          </w:p>
        </w:tc>
        <w:tc>
          <w:tcPr>
            <w:tcW w:w="600" w:type="pct"/>
            <w:vAlign w:val="bottom"/>
          </w:tcPr>
          <w:p w:rsidR="000C724F" w:rsidRPr="00EF009B" w:rsidRDefault="00533196" w:rsidP="00533196">
            <w:pPr>
              <w:jc w:val="right"/>
              <w:rPr>
                <w:color w:val="000000"/>
                <w:sz w:val="20"/>
                <w:szCs w:val="20"/>
              </w:rPr>
            </w:pPr>
            <w:r w:rsidRPr="00EF009B">
              <w:rPr>
                <w:color w:val="000000"/>
                <w:sz w:val="20"/>
                <w:szCs w:val="20"/>
              </w:rPr>
              <w:t>50,000</w:t>
            </w:r>
          </w:p>
        </w:tc>
      </w:tr>
      <w:tr w:rsidR="000C724F" w:rsidRPr="00074209" w:rsidTr="000C724F">
        <w:trPr>
          <w:cantSplit/>
        </w:trPr>
        <w:tc>
          <w:tcPr>
            <w:tcW w:w="1754" w:type="pct"/>
          </w:tcPr>
          <w:p w:rsidR="000C724F" w:rsidRPr="00EF009B" w:rsidRDefault="000C724F" w:rsidP="00AD0C9A">
            <w:pPr>
              <w:jc w:val="both"/>
              <w:rPr>
                <w:sz w:val="20"/>
                <w:szCs w:val="20"/>
              </w:rPr>
            </w:pPr>
            <w:r w:rsidRPr="00EF009B">
              <w:rPr>
                <w:sz w:val="20"/>
                <w:szCs w:val="20"/>
              </w:rPr>
              <w:t>Private Company</w:t>
            </w:r>
          </w:p>
        </w:tc>
        <w:tc>
          <w:tcPr>
            <w:tcW w:w="1842" w:type="pct"/>
          </w:tcPr>
          <w:p w:rsidR="000C724F" w:rsidRPr="00EF009B" w:rsidRDefault="000C724F" w:rsidP="00C051F9">
            <w:pPr>
              <w:rPr>
                <w:sz w:val="20"/>
                <w:szCs w:val="20"/>
              </w:rPr>
            </w:pPr>
            <w:r w:rsidRPr="00EF009B">
              <w:rPr>
                <w:sz w:val="20"/>
                <w:szCs w:val="20"/>
              </w:rPr>
              <w:t>Matheson Enterprises Pty Ltd (Cook Islands)</w:t>
            </w:r>
          </w:p>
        </w:tc>
        <w:tc>
          <w:tcPr>
            <w:tcW w:w="803" w:type="pct"/>
            <w:shd w:val="clear" w:color="auto" w:fill="auto"/>
          </w:tcPr>
          <w:p w:rsidR="000C724F" w:rsidRPr="00EF009B" w:rsidRDefault="00533196" w:rsidP="00AD0C9A">
            <w:pPr>
              <w:ind w:left="5"/>
              <w:jc w:val="both"/>
              <w:rPr>
                <w:sz w:val="20"/>
                <w:szCs w:val="20"/>
              </w:rPr>
            </w:pPr>
            <w:r w:rsidRPr="00EF009B">
              <w:rPr>
                <w:sz w:val="20"/>
                <w:szCs w:val="20"/>
              </w:rPr>
              <w:t xml:space="preserve">Grant </w:t>
            </w:r>
          </w:p>
        </w:tc>
        <w:tc>
          <w:tcPr>
            <w:tcW w:w="600" w:type="pct"/>
            <w:vAlign w:val="bottom"/>
          </w:tcPr>
          <w:p w:rsidR="000C724F" w:rsidRPr="00EF009B" w:rsidRDefault="00034CDA" w:rsidP="00533196">
            <w:pPr>
              <w:jc w:val="right"/>
              <w:rPr>
                <w:color w:val="000000"/>
                <w:sz w:val="20"/>
                <w:szCs w:val="20"/>
              </w:rPr>
            </w:pPr>
            <w:r w:rsidRPr="00EF009B">
              <w:rPr>
                <w:color w:val="000000"/>
                <w:sz w:val="20"/>
                <w:szCs w:val="20"/>
              </w:rPr>
              <w:t>5</w:t>
            </w:r>
            <w:r w:rsidR="00533196" w:rsidRPr="00EF009B">
              <w:rPr>
                <w:color w:val="000000"/>
                <w:sz w:val="20"/>
                <w:szCs w:val="20"/>
              </w:rPr>
              <w:t>0,000</w:t>
            </w:r>
          </w:p>
        </w:tc>
      </w:tr>
      <w:tr w:rsidR="00034CDA" w:rsidRPr="00074209" w:rsidTr="000C724F">
        <w:trPr>
          <w:cantSplit/>
        </w:trPr>
        <w:tc>
          <w:tcPr>
            <w:tcW w:w="1754" w:type="pct"/>
          </w:tcPr>
          <w:p w:rsidR="00034CDA" w:rsidRPr="00EF009B" w:rsidRDefault="00034CDA" w:rsidP="00310B5A">
            <w:pPr>
              <w:jc w:val="both"/>
              <w:rPr>
                <w:sz w:val="20"/>
                <w:szCs w:val="20"/>
              </w:rPr>
            </w:pPr>
            <w:r w:rsidRPr="00EF009B">
              <w:rPr>
                <w:sz w:val="20"/>
                <w:szCs w:val="20"/>
              </w:rPr>
              <w:t>Private Company</w:t>
            </w:r>
          </w:p>
        </w:tc>
        <w:tc>
          <w:tcPr>
            <w:tcW w:w="1842" w:type="pct"/>
          </w:tcPr>
          <w:p w:rsidR="00034CDA" w:rsidRPr="00EF009B" w:rsidRDefault="00034CDA" w:rsidP="00310B5A">
            <w:pPr>
              <w:rPr>
                <w:sz w:val="20"/>
                <w:szCs w:val="20"/>
              </w:rPr>
            </w:pPr>
            <w:r w:rsidRPr="00EF009B">
              <w:rPr>
                <w:sz w:val="20"/>
                <w:szCs w:val="20"/>
              </w:rPr>
              <w:t>Matheson Enterprises Pty Ltd (Cook Islands)</w:t>
            </w:r>
          </w:p>
        </w:tc>
        <w:tc>
          <w:tcPr>
            <w:tcW w:w="803" w:type="pct"/>
            <w:shd w:val="clear" w:color="auto" w:fill="auto"/>
          </w:tcPr>
          <w:p w:rsidR="00034CDA" w:rsidRPr="00EF009B" w:rsidRDefault="00034CDA" w:rsidP="00310B5A">
            <w:pPr>
              <w:ind w:left="5"/>
              <w:jc w:val="both"/>
              <w:rPr>
                <w:sz w:val="20"/>
                <w:szCs w:val="20"/>
              </w:rPr>
            </w:pPr>
            <w:r w:rsidRPr="00EF009B">
              <w:rPr>
                <w:sz w:val="20"/>
                <w:szCs w:val="20"/>
              </w:rPr>
              <w:t xml:space="preserve">In-kind </w:t>
            </w:r>
          </w:p>
        </w:tc>
        <w:tc>
          <w:tcPr>
            <w:tcW w:w="600" w:type="pct"/>
            <w:vAlign w:val="bottom"/>
          </w:tcPr>
          <w:p w:rsidR="00034CDA" w:rsidRPr="00EF009B" w:rsidRDefault="00034CDA" w:rsidP="00310B5A">
            <w:pPr>
              <w:jc w:val="right"/>
              <w:rPr>
                <w:color w:val="000000"/>
                <w:sz w:val="20"/>
                <w:szCs w:val="20"/>
              </w:rPr>
            </w:pPr>
            <w:r w:rsidRPr="00EF009B">
              <w:rPr>
                <w:color w:val="000000"/>
                <w:sz w:val="20"/>
                <w:szCs w:val="20"/>
              </w:rPr>
              <w:t>50,000</w:t>
            </w:r>
          </w:p>
        </w:tc>
      </w:tr>
      <w:tr w:rsidR="00034CDA" w:rsidRPr="00074209" w:rsidTr="000C724F">
        <w:trPr>
          <w:cantSplit/>
        </w:trPr>
        <w:tc>
          <w:tcPr>
            <w:tcW w:w="1754" w:type="pct"/>
          </w:tcPr>
          <w:p w:rsidR="00034CDA" w:rsidRPr="00EF009B" w:rsidRDefault="00034CDA" w:rsidP="00AD0C9A">
            <w:pPr>
              <w:jc w:val="both"/>
              <w:rPr>
                <w:sz w:val="20"/>
                <w:szCs w:val="20"/>
              </w:rPr>
            </w:pPr>
            <w:r w:rsidRPr="00EF009B">
              <w:rPr>
                <w:sz w:val="20"/>
                <w:szCs w:val="20"/>
              </w:rPr>
              <w:t>Private Company</w:t>
            </w:r>
          </w:p>
        </w:tc>
        <w:tc>
          <w:tcPr>
            <w:tcW w:w="1842" w:type="pct"/>
          </w:tcPr>
          <w:p w:rsidR="00034CDA" w:rsidRPr="00EF009B" w:rsidRDefault="00034CDA" w:rsidP="00C051F9">
            <w:pPr>
              <w:rPr>
                <w:sz w:val="20"/>
                <w:szCs w:val="20"/>
              </w:rPr>
            </w:pPr>
            <w:r w:rsidRPr="00EF009B">
              <w:rPr>
                <w:sz w:val="20"/>
                <w:szCs w:val="20"/>
              </w:rPr>
              <w:t>CIMTECH Pty Ltd (Australia)</w:t>
            </w:r>
          </w:p>
        </w:tc>
        <w:tc>
          <w:tcPr>
            <w:tcW w:w="803" w:type="pct"/>
            <w:shd w:val="clear" w:color="auto" w:fill="auto"/>
          </w:tcPr>
          <w:p w:rsidR="00034CDA" w:rsidRPr="00EF009B" w:rsidRDefault="00034CDA" w:rsidP="00AD0C9A">
            <w:pPr>
              <w:ind w:left="5"/>
              <w:jc w:val="both"/>
              <w:rPr>
                <w:sz w:val="20"/>
                <w:szCs w:val="20"/>
              </w:rPr>
            </w:pPr>
            <w:r w:rsidRPr="00EF009B">
              <w:rPr>
                <w:sz w:val="20"/>
                <w:szCs w:val="20"/>
              </w:rPr>
              <w:t xml:space="preserve">Grant </w:t>
            </w:r>
          </w:p>
        </w:tc>
        <w:tc>
          <w:tcPr>
            <w:tcW w:w="600" w:type="pct"/>
            <w:vAlign w:val="bottom"/>
          </w:tcPr>
          <w:p w:rsidR="00034CDA" w:rsidRPr="00EF009B" w:rsidRDefault="0080445C" w:rsidP="00533196">
            <w:pPr>
              <w:jc w:val="right"/>
              <w:rPr>
                <w:color w:val="000000"/>
                <w:sz w:val="20"/>
                <w:szCs w:val="20"/>
              </w:rPr>
            </w:pPr>
            <w:r w:rsidRPr="00EF009B">
              <w:rPr>
                <w:color w:val="000000"/>
                <w:sz w:val="20"/>
                <w:szCs w:val="20"/>
              </w:rPr>
              <w:t>5</w:t>
            </w:r>
            <w:r w:rsidR="00034CDA" w:rsidRPr="00EF009B">
              <w:rPr>
                <w:color w:val="000000"/>
                <w:sz w:val="20"/>
                <w:szCs w:val="20"/>
              </w:rPr>
              <w:t>79,535</w:t>
            </w:r>
          </w:p>
        </w:tc>
      </w:tr>
      <w:tr w:rsidR="00034CDA" w:rsidRPr="00074209" w:rsidTr="00034CDA">
        <w:trPr>
          <w:cantSplit/>
        </w:trPr>
        <w:tc>
          <w:tcPr>
            <w:tcW w:w="1754" w:type="pct"/>
            <w:tcBorders>
              <w:top w:val="single" w:sz="4" w:space="0" w:color="auto"/>
              <w:left w:val="single" w:sz="4" w:space="0" w:color="auto"/>
              <w:bottom w:val="single" w:sz="4" w:space="0" w:color="auto"/>
              <w:right w:val="single" w:sz="4" w:space="0" w:color="auto"/>
            </w:tcBorders>
          </w:tcPr>
          <w:p w:rsidR="00034CDA" w:rsidRPr="00EF009B" w:rsidRDefault="00034CDA" w:rsidP="00310B5A">
            <w:pPr>
              <w:jc w:val="both"/>
              <w:rPr>
                <w:sz w:val="20"/>
                <w:szCs w:val="20"/>
              </w:rPr>
            </w:pPr>
            <w:r w:rsidRPr="00EF009B">
              <w:rPr>
                <w:sz w:val="20"/>
                <w:szCs w:val="20"/>
              </w:rPr>
              <w:t>Private Company</w:t>
            </w:r>
          </w:p>
        </w:tc>
        <w:tc>
          <w:tcPr>
            <w:tcW w:w="1842" w:type="pct"/>
            <w:tcBorders>
              <w:top w:val="single" w:sz="4" w:space="0" w:color="auto"/>
              <w:left w:val="single" w:sz="4" w:space="0" w:color="auto"/>
              <w:bottom w:val="single" w:sz="4" w:space="0" w:color="auto"/>
              <w:right w:val="single" w:sz="4" w:space="0" w:color="auto"/>
            </w:tcBorders>
          </w:tcPr>
          <w:p w:rsidR="00034CDA" w:rsidRPr="00EF009B" w:rsidRDefault="00034CDA" w:rsidP="00310B5A">
            <w:pPr>
              <w:rPr>
                <w:sz w:val="20"/>
                <w:szCs w:val="20"/>
              </w:rPr>
            </w:pPr>
            <w:r w:rsidRPr="00EF009B">
              <w:rPr>
                <w:sz w:val="20"/>
                <w:szCs w:val="20"/>
              </w:rPr>
              <w:t>CIMTECH Pty Ltd (Australia)</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034CDA" w:rsidRPr="00EF009B" w:rsidRDefault="00034CDA" w:rsidP="00310B5A">
            <w:pPr>
              <w:ind w:left="5"/>
              <w:jc w:val="both"/>
              <w:rPr>
                <w:sz w:val="20"/>
                <w:szCs w:val="20"/>
              </w:rPr>
            </w:pPr>
            <w:r w:rsidRPr="00EF009B">
              <w:rPr>
                <w:sz w:val="20"/>
                <w:szCs w:val="20"/>
              </w:rPr>
              <w:t>In-kind</w:t>
            </w:r>
          </w:p>
        </w:tc>
        <w:tc>
          <w:tcPr>
            <w:tcW w:w="600" w:type="pct"/>
            <w:tcBorders>
              <w:top w:val="single" w:sz="4" w:space="0" w:color="auto"/>
              <w:left w:val="single" w:sz="4" w:space="0" w:color="auto"/>
              <w:bottom w:val="single" w:sz="4" w:space="0" w:color="auto"/>
              <w:right w:val="single" w:sz="4" w:space="0" w:color="auto"/>
            </w:tcBorders>
            <w:vAlign w:val="bottom"/>
          </w:tcPr>
          <w:p w:rsidR="00034CDA" w:rsidRPr="00EF009B" w:rsidRDefault="0080445C" w:rsidP="00034CDA">
            <w:pPr>
              <w:jc w:val="right"/>
              <w:rPr>
                <w:color w:val="000000"/>
                <w:sz w:val="20"/>
                <w:szCs w:val="20"/>
              </w:rPr>
            </w:pPr>
            <w:r w:rsidRPr="00EF009B">
              <w:rPr>
                <w:color w:val="000000"/>
                <w:sz w:val="20"/>
                <w:szCs w:val="20"/>
              </w:rPr>
              <w:t>1</w:t>
            </w:r>
            <w:r w:rsidR="00034CDA" w:rsidRPr="00EF009B">
              <w:rPr>
                <w:color w:val="000000"/>
                <w:sz w:val="20"/>
                <w:szCs w:val="20"/>
              </w:rPr>
              <w:t>50,000</w:t>
            </w:r>
          </w:p>
        </w:tc>
      </w:tr>
      <w:tr w:rsidR="00034CDA" w:rsidRPr="00074209" w:rsidTr="000C724F">
        <w:trPr>
          <w:cantSplit/>
        </w:trPr>
        <w:tc>
          <w:tcPr>
            <w:tcW w:w="1754" w:type="pct"/>
          </w:tcPr>
          <w:p w:rsidR="00034CDA" w:rsidRPr="00EF009B" w:rsidRDefault="00034CDA" w:rsidP="00AD0C9A">
            <w:pPr>
              <w:jc w:val="both"/>
              <w:rPr>
                <w:sz w:val="20"/>
                <w:szCs w:val="20"/>
              </w:rPr>
            </w:pPr>
            <w:r w:rsidRPr="00EF009B">
              <w:rPr>
                <w:sz w:val="20"/>
                <w:szCs w:val="20"/>
              </w:rPr>
              <w:t>GEF Agency</w:t>
            </w:r>
          </w:p>
        </w:tc>
        <w:tc>
          <w:tcPr>
            <w:tcW w:w="1842" w:type="pct"/>
          </w:tcPr>
          <w:p w:rsidR="00034CDA" w:rsidRPr="00EF009B" w:rsidRDefault="00034CDA" w:rsidP="00C051F9">
            <w:pPr>
              <w:rPr>
                <w:sz w:val="20"/>
                <w:szCs w:val="20"/>
              </w:rPr>
            </w:pPr>
            <w:r w:rsidRPr="00EF009B">
              <w:rPr>
                <w:sz w:val="20"/>
                <w:szCs w:val="20"/>
              </w:rPr>
              <w:t>UNDP</w:t>
            </w:r>
          </w:p>
        </w:tc>
        <w:tc>
          <w:tcPr>
            <w:tcW w:w="803" w:type="pct"/>
            <w:shd w:val="clear" w:color="auto" w:fill="auto"/>
          </w:tcPr>
          <w:p w:rsidR="00034CDA" w:rsidRPr="00EF009B" w:rsidRDefault="00034CDA" w:rsidP="00AD0C9A">
            <w:pPr>
              <w:ind w:left="5"/>
              <w:jc w:val="both"/>
              <w:rPr>
                <w:sz w:val="20"/>
                <w:szCs w:val="20"/>
              </w:rPr>
            </w:pPr>
            <w:r w:rsidRPr="00EF009B">
              <w:rPr>
                <w:sz w:val="20"/>
                <w:szCs w:val="20"/>
              </w:rPr>
              <w:t>In-kind</w:t>
            </w:r>
          </w:p>
        </w:tc>
        <w:tc>
          <w:tcPr>
            <w:tcW w:w="600" w:type="pct"/>
            <w:vAlign w:val="bottom"/>
          </w:tcPr>
          <w:p w:rsidR="00034CDA" w:rsidRPr="00EF009B" w:rsidRDefault="00034CDA" w:rsidP="00533196">
            <w:pPr>
              <w:jc w:val="right"/>
              <w:rPr>
                <w:color w:val="000000"/>
                <w:sz w:val="20"/>
                <w:szCs w:val="20"/>
              </w:rPr>
            </w:pPr>
            <w:r w:rsidRPr="00EF009B">
              <w:rPr>
                <w:color w:val="000000"/>
                <w:sz w:val="20"/>
                <w:szCs w:val="20"/>
              </w:rPr>
              <w:t>50,000</w:t>
            </w:r>
          </w:p>
        </w:tc>
      </w:tr>
      <w:tr w:rsidR="00034CDA" w:rsidRPr="0001061D" w:rsidTr="000C724F">
        <w:trPr>
          <w:cantSplit/>
        </w:trPr>
        <w:tc>
          <w:tcPr>
            <w:tcW w:w="1754" w:type="pct"/>
            <w:tcBorders>
              <w:top w:val="double" w:sz="4" w:space="0" w:color="auto"/>
              <w:bottom w:val="double" w:sz="4" w:space="0" w:color="auto"/>
            </w:tcBorders>
          </w:tcPr>
          <w:p w:rsidR="00034CDA" w:rsidRPr="00074209" w:rsidRDefault="00034CDA" w:rsidP="00AD0C9A">
            <w:pPr>
              <w:jc w:val="both"/>
              <w:rPr>
                <w:b/>
                <w:sz w:val="20"/>
                <w:szCs w:val="20"/>
              </w:rPr>
            </w:pPr>
          </w:p>
        </w:tc>
        <w:tc>
          <w:tcPr>
            <w:tcW w:w="1842" w:type="pct"/>
            <w:tcBorders>
              <w:top w:val="double" w:sz="4" w:space="0" w:color="auto"/>
              <w:bottom w:val="double" w:sz="4" w:space="0" w:color="auto"/>
            </w:tcBorders>
            <w:shd w:val="clear" w:color="auto" w:fill="CCCCCC"/>
          </w:tcPr>
          <w:p w:rsidR="00034CDA" w:rsidRPr="00074209" w:rsidRDefault="00034CDA" w:rsidP="00AD0C9A">
            <w:pPr>
              <w:jc w:val="both"/>
              <w:rPr>
                <w:sz w:val="20"/>
                <w:szCs w:val="20"/>
              </w:rPr>
            </w:pPr>
          </w:p>
        </w:tc>
        <w:tc>
          <w:tcPr>
            <w:tcW w:w="803" w:type="pct"/>
            <w:tcBorders>
              <w:top w:val="double" w:sz="4" w:space="0" w:color="auto"/>
              <w:bottom w:val="double" w:sz="4" w:space="0" w:color="auto"/>
            </w:tcBorders>
            <w:shd w:val="clear" w:color="auto" w:fill="CCCCCC"/>
          </w:tcPr>
          <w:p w:rsidR="00034CDA" w:rsidRPr="00074209" w:rsidRDefault="00034CDA" w:rsidP="00AD0C9A">
            <w:pPr>
              <w:ind w:left="5"/>
              <w:jc w:val="both"/>
              <w:rPr>
                <w:sz w:val="20"/>
                <w:szCs w:val="20"/>
              </w:rPr>
            </w:pPr>
          </w:p>
        </w:tc>
        <w:tc>
          <w:tcPr>
            <w:tcW w:w="600" w:type="pct"/>
            <w:tcBorders>
              <w:top w:val="double" w:sz="4" w:space="0" w:color="auto"/>
              <w:bottom w:val="double" w:sz="4" w:space="0" w:color="auto"/>
            </w:tcBorders>
          </w:tcPr>
          <w:p w:rsidR="00034CDA" w:rsidRPr="00810EA4" w:rsidRDefault="00034CDA" w:rsidP="00533196">
            <w:pPr>
              <w:jc w:val="right"/>
              <w:rPr>
                <w:sz w:val="20"/>
                <w:szCs w:val="20"/>
              </w:rPr>
            </w:pPr>
            <w:r w:rsidRPr="00810EA4">
              <w:rPr>
                <w:sz w:val="20"/>
                <w:szCs w:val="20"/>
              </w:rPr>
              <w:t>1,4</w:t>
            </w:r>
            <w:r w:rsidR="000B16F0">
              <w:rPr>
                <w:sz w:val="20"/>
                <w:szCs w:val="20"/>
              </w:rPr>
              <w:t>9</w:t>
            </w:r>
            <w:r w:rsidRPr="00810EA4">
              <w:rPr>
                <w:sz w:val="20"/>
                <w:szCs w:val="20"/>
              </w:rPr>
              <w:t>9,535</w:t>
            </w:r>
          </w:p>
        </w:tc>
      </w:tr>
    </w:tbl>
    <w:p w:rsidR="00276471" w:rsidRPr="0001061D" w:rsidRDefault="00E7482D" w:rsidP="00606431">
      <w:pPr>
        <w:pStyle w:val="Footer"/>
        <w:numPr>
          <w:ilvl w:val="0"/>
          <w:numId w:val="1"/>
        </w:numPr>
        <w:tabs>
          <w:tab w:val="clear" w:pos="720"/>
          <w:tab w:val="clear" w:pos="4320"/>
          <w:tab w:val="clear" w:pos="8640"/>
          <w:tab w:val="num" w:pos="-360"/>
          <w:tab w:val="left" w:pos="270"/>
        </w:tabs>
        <w:spacing w:before="240" w:after="80"/>
        <w:ind w:left="0" w:firstLine="0"/>
        <w:jc w:val="both"/>
        <w:rPr>
          <w:b/>
          <w:smallCaps/>
          <w:sz w:val="22"/>
          <w:szCs w:val="22"/>
        </w:rPr>
      </w:pPr>
      <w:r w:rsidRPr="0001061D">
        <w:rPr>
          <w:b/>
          <w:smallCaps/>
          <w:sz w:val="22"/>
          <w:szCs w:val="22"/>
        </w:rPr>
        <w:t xml:space="preserve">Indicative Trust Fund Resources ($) Requested by </w:t>
      </w:r>
      <w:r w:rsidR="00107376" w:rsidRPr="0001061D">
        <w:rPr>
          <w:b/>
          <w:smallCaps/>
          <w:sz w:val="22"/>
          <w:szCs w:val="22"/>
        </w:rPr>
        <w:t>Agency, Focal Area</w:t>
      </w:r>
      <w:r w:rsidRPr="0001061D">
        <w:rPr>
          <w:b/>
          <w:smallCaps/>
          <w:sz w:val="22"/>
          <w:szCs w:val="22"/>
        </w:rPr>
        <w:t xml:space="preserve"> </w:t>
      </w:r>
      <w:r w:rsidR="00107376" w:rsidRPr="0001061D">
        <w:rPr>
          <w:b/>
          <w:smallCaps/>
          <w:sz w:val="22"/>
          <w:szCs w:val="22"/>
        </w:rPr>
        <w:t>and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485"/>
        <w:gridCol w:w="2170"/>
        <w:gridCol w:w="1659"/>
        <w:gridCol w:w="1619"/>
        <w:gridCol w:w="1397"/>
        <w:gridCol w:w="1558"/>
      </w:tblGrid>
      <w:tr w:rsidR="00BA5CBE" w:rsidRPr="0001061D" w:rsidTr="00606431">
        <w:trPr>
          <w:trHeight w:val="260"/>
        </w:trPr>
        <w:tc>
          <w:tcPr>
            <w:tcW w:w="512" w:type="pct"/>
            <w:shd w:val="clear" w:color="auto" w:fill="auto"/>
            <w:vAlign w:val="center"/>
          </w:tcPr>
          <w:p w:rsidR="00107376" w:rsidRPr="0001061D" w:rsidRDefault="00436AF0" w:rsidP="00AD0C9A">
            <w:pPr>
              <w:jc w:val="both"/>
              <w:rPr>
                <w:b/>
                <w:smallCaps/>
                <w:sz w:val="20"/>
                <w:szCs w:val="20"/>
              </w:rPr>
            </w:pPr>
            <w:r w:rsidRPr="0001061D">
              <w:rPr>
                <w:b/>
                <w:smallCaps/>
                <w:sz w:val="20"/>
                <w:szCs w:val="20"/>
              </w:rPr>
              <w:t>GEF Agency</w:t>
            </w:r>
          </w:p>
        </w:tc>
        <w:tc>
          <w:tcPr>
            <w:tcW w:w="674" w:type="pct"/>
            <w:vAlign w:val="center"/>
          </w:tcPr>
          <w:p w:rsidR="00107376" w:rsidRPr="0001061D" w:rsidRDefault="00436AF0" w:rsidP="00AD0C9A">
            <w:pPr>
              <w:jc w:val="both"/>
              <w:rPr>
                <w:b/>
                <w:smallCaps/>
                <w:sz w:val="20"/>
                <w:szCs w:val="20"/>
              </w:rPr>
            </w:pPr>
            <w:r w:rsidRPr="0001061D">
              <w:rPr>
                <w:b/>
                <w:smallCaps/>
                <w:sz w:val="20"/>
                <w:szCs w:val="20"/>
              </w:rPr>
              <w:t>Type of Trust Fund</w:t>
            </w:r>
          </w:p>
        </w:tc>
        <w:tc>
          <w:tcPr>
            <w:tcW w:w="985" w:type="pct"/>
            <w:shd w:val="clear" w:color="auto" w:fill="auto"/>
            <w:vAlign w:val="center"/>
          </w:tcPr>
          <w:p w:rsidR="00107376" w:rsidRPr="0001061D" w:rsidRDefault="00436AF0" w:rsidP="00AD0C9A">
            <w:pPr>
              <w:jc w:val="both"/>
              <w:rPr>
                <w:b/>
                <w:smallCaps/>
                <w:sz w:val="20"/>
                <w:szCs w:val="20"/>
              </w:rPr>
            </w:pPr>
            <w:r w:rsidRPr="0001061D">
              <w:rPr>
                <w:b/>
                <w:smallCaps/>
                <w:sz w:val="20"/>
                <w:szCs w:val="20"/>
              </w:rPr>
              <w:t>Focal area</w:t>
            </w:r>
          </w:p>
        </w:tc>
        <w:tc>
          <w:tcPr>
            <w:tcW w:w="753" w:type="pct"/>
            <w:shd w:val="clear" w:color="auto" w:fill="auto"/>
            <w:vAlign w:val="center"/>
          </w:tcPr>
          <w:p w:rsidR="00107376" w:rsidRPr="0001061D" w:rsidRDefault="00436AF0" w:rsidP="00AD0C9A">
            <w:pPr>
              <w:jc w:val="both"/>
              <w:rPr>
                <w:b/>
                <w:sz w:val="20"/>
                <w:szCs w:val="20"/>
              </w:rPr>
            </w:pPr>
            <w:r w:rsidRPr="0001061D">
              <w:rPr>
                <w:b/>
                <w:sz w:val="20"/>
                <w:szCs w:val="20"/>
              </w:rPr>
              <w:t>Country name/Global</w:t>
            </w:r>
          </w:p>
        </w:tc>
        <w:tc>
          <w:tcPr>
            <w:tcW w:w="735" w:type="pct"/>
            <w:shd w:val="clear" w:color="auto" w:fill="auto"/>
            <w:vAlign w:val="center"/>
          </w:tcPr>
          <w:p w:rsidR="00107376" w:rsidRPr="0001061D" w:rsidRDefault="008C1301" w:rsidP="00AD0C9A">
            <w:pPr>
              <w:jc w:val="both"/>
              <w:rPr>
                <w:b/>
                <w:sz w:val="20"/>
                <w:szCs w:val="20"/>
              </w:rPr>
            </w:pPr>
            <w:r w:rsidRPr="0001061D">
              <w:rPr>
                <w:b/>
                <w:sz w:val="20"/>
                <w:szCs w:val="20"/>
              </w:rPr>
              <w:t>Grant</w:t>
            </w:r>
            <w:r w:rsidR="00107376" w:rsidRPr="0001061D">
              <w:rPr>
                <w:b/>
                <w:sz w:val="20"/>
                <w:szCs w:val="20"/>
              </w:rPr>
              <w:t xml:space="preserve"> amount (a)</w:t>
            </w:r>
          </w:p>
        </w:tc>
        <w:tc>
          <w:tcPr>
            <w:tcW w:w="634" w:type="pct"/>
            <w:shd w:val="clear" w:color="auto" w:fill="auto"/>
            <w:vAlign w:val="center"/>
          </w:tcPr>
          <w:p w:rsidR="00107376" w:rsidRPr="0001061D" w:rsidRDefault="00107376" w:rsidP="00AD0C9A">
            <w:pPr>
              <w:jc w:val="both"/>
              <w:rPr>
                <w:b/>
                <w:sz w:val="20"/>
                <w:szCs w:val="20"/>
              </w:rPr>
            </w:pPr>
            <w:r w:rsidRPr="0001061D">
              <w:rPr>
                <w:b/>
                <w:sz w:val="20"/>
                <w:szCs w:val="20"/>
              </w:rPr>
              <w:t>Agency Fee (b)</w:t>
            </w:r>
            <w:r w:rsidRPr="0001061D">
              <w:rPr>
                <w:b/>
                <w:sz w:val="20"/>
                <w:szCs w:val="20"/>
                <w:vertAlign w:val="superscript"/>
              </w:rPr>
              <w:t>2</w:t>
            </w:r>
          </w:p>
        </w:tc>
        <w:tc>
          <w:tcPr>
            <w:tcW w:w="708" w:type="pct"/>
            <w:shd w:val="clear" w:color="auto" w:fill="auto"/>
            <w:vAlign w:val="center"/>
          </w:tcPr>
          <w:p w:rsidR="00107376" w:rsidRPr="0001061D" w:rsidRDefault="00107376" w:rsidP="00AD0C9A">
            <w:pPr>
              <w:ind w:firstLine="195"/>
              <w:jc w:val="both"/>
              <w:rPr>
                <w:b/>
                <w:sz w:val="20"/>
                <w:szCs w:val="20"/>
              </w:rPr>
            </w:pPr>
            <w:r w:rsidRPr="0001061D">
              <w:rPr>
                <w:b/>
                <w:sz w:val="20"/>
                <w:szCs w:val="20"/>
              </w:rPr>
              <w:t>Total c=</w:t>
            </w:r>
            <w:proofErr w:type="spellStart"/>
            <w:r w:rsidRPr="0001061D">
              <w:rPr>
                <w:b/>
                <w:sz w:val="20"/>
                <w:szCs w:val="20"/>
              </w:rPr>
              <w:t>a+b</w:t>
            </w:r>
            <w:proofErr w:type="spellEnd"/>
          </w:p>
        </w:tc>
      </w:tr>
      <w:tr w:rsidR="00BA5CBE" w:rsidRPr="000E3876" w:rsidTr="00606431">
        <w:trPr>
          <w:trHeight w:val="260"/>
        </w:trPr>
        <w:tc>
          <w:tcPr>
            <w:tcW w:w="512" w:type="pct"/>
            <w:shd w:val="clear" w:color="auto" w:fill="auto"/>
          </w:tcPr>
          <w:p w:rsidR="002B6233" w:rsidRPr="000E3876" w:rsidRDefault="00EF009B" w:rsidP="00AD0C9A">
            <w:pPr>
              <w:jc w:val="both"/>
              <w:rPr>
                <w:sz w:val="20"/>
                <w:szCs w:val="20"/>
              </w:rPr>
            </w:pPr>
            <w:r w:rsidRPr="000E3876">
              <w:rPr>
                <w:sz w:val="20"/>
                <w:szCs w:val="20"/>
              </w:rPr>
              <w:t>UNDP</w:t>
            </w:r>
          </w:p>
        </w:tc>
        <w:tc>
          <w:tcPr>
            <w:tcW w:w="674" w:type="pct"/>
          </w:tcPr>
          <w:p w:rsidR="002B6233" w:rsidRPr="000E3876" w:rsidRDefault="00EF009B" w:rsidP="00AD0C9A">
            <w:pPr>
              <w:jc w:val="both"/>
              <w:rPr>
                <w:sz w:val="20"/>
                <w:szCs w:val="20"/>
              </w:rPr>
            </w:pPr>
            <w:r w:rsidRPr="000E3876">
              <w:rPr>
                <w:sz w:val="20"/>
                <w:szCs w:val="20"/>
              </w:rPr>
              <w:t>NPIF</w:t>
            </w:r>
          </w:p>
        </w:tc>
        <w:tc>
          <w:tcPr>
            <w:tcW w:w="985" w:type="pct"/>
            <w:shd w:val="clear" w:color="auto" w:fill="auto"/>
          </w:tcPr>
          <w:p w:rsidR="002B6233" w:rsidRPr="000E3876" w:rsidRDefault="00EF009B" w:rsidP="00AD0C9A">
            <w:pPr>
              <w:jc w:val="both"/>
              <w:rPr>
                <w:sz w:val="20"/>
                <w:szCs w:val="20"/>
              </w:rPr>
            </w:pPr>
            <w:r w:rsidRPr="000E3876">
              <w:rPr>
                <w:sz w:val="20"/>
                <w:szCs w:val="20"/>
              </w:rPr>
              <w:t>Biodiversity</w:t>
            </w:r>
          </w:p>
        </w:tc>
        <w:tc>
          <w:tcPr>
            <w:tcW w:w="753" w:type="pct"/>
            <w:shd w:val="clear" w:color="auto" w:fill="auto"/>
          </w:tcPr>
          <w:p w:rsidR="002B6233" w:rsidRPr="000E3876" w:rsidRDefault="00EF009B" w:rsidP="00AD0C9A">
            <w:pPr>
              <w:jc w:val="both"/>
              <w:rPr>
                <w:sz w:val="20"/>
                <w:szCs w:val="20"/>
              </w:rPr>
            </w:pPr>
            <w:r w:rsidRPr="000E3876">
              <w:rPr>
                <w:sz w:val="20"/>
                <w:szCs w:val="20"/>
              </w:rPr>
              <w:t>Cook Islands</w:t>
            </w:r>
          </w:p>
        </w:tc>
        <w:tc>
          <w:tcPr>
            <w:tcW w:w="735" w:type="pct"/>
            <w:shd w:val="clear" w:color="auto" w:fill="auto"/>
          </w:tcPr>
          <w:p w:rsidR="002B6233" w:rsidRPr="000E3876" w:rsidRDefault="00EF009B" w:rsidP="000C724F">
            <w:pPr>
              <w:jc w:val="right"/>
              <w:rPr>
                <w:sz w:val="20"/>
                <w:szCs w:val="20"/>
              </w:rPr>
            </w:pPr>
            <w:r w:rsidRPr="000E3876">
              <w:rPr>
                <w:sz w:val="20"/>
                <w:szCs w:val="20"/>
              </w:rPr>
              <w:t>970,000</w:t>
            </w:r>
          </w:p>
        </w:tc>
        <w:tc>
          <w:tcPr>
            <w:tcW w:w="634" w:type="pct"/>
            <w:shd w:val="clear" w:color="auto" w:fill="auto"/>
          </w:tcPr>
          <w:p w:rsidR="002B6233" w:rsidRPr="000E3876" w:rsidRDefault="00193942" w:rsidP="000C724F">
            <w:pPr>
              <w:jc w:val="right"/>
              <w:rPr>
                <w:sz w:val="20"/>
                <w:szCs w:val="20"/>
              </w:rPr>
            </w:pPr>
            <w:r w:rsidRPr="000E3876">
              <w:rPr>
                <w:sz w:val="20"/>
                <w:szCs w:val="20"/>
              </w:rPr>
              <w:t>92,150</w:t>
            </w:r>
          </w:p>
        </w:tc>
        <w:tc>
          <w:tcPr>
            <w:tcW w:w="708" w:type="pct"/>
            <w:shd w:val="clear" w:color="auto" w:fill="auto"/>
          </w:tcPr>
          <w:p w:rsidR="002B6233" w:rsidRPr="000E3876" w:rsidRDefault="00193942" w:rsidP="000C724F">
            <w:pPr>
              <w:jc w:val="right"/>
              <w:rPr>
                <w:sz w:val="20"/>
                <w:szCs w:val="20"/>
              </w:rPr>
            </w:pPr>
            <w:r w:rsidRPr="000E3876">
              <w:rPr>
                <w:sz w:val="20"/>
                <w:szCs w:val="20"/>
              </w:rPr>
              <w:t>1,062,150</w:t>
            </w:r>
          </w:p>
        </w:tc>
      </w:tr>
      <w:tr w:rsidR="00807CFB" w:rsidRPr="0001061D" w:rsidTr="00606431">
        <w:trPr>
          <w:trHeight w:val="253"/>
        </w:trPr>
        <w:tc>
          <w:tcPr>
            <w:tcW w:w="2923" w:type="pct"/>
            <w:gridSpan w:val="4"/>
            <w:tcBorders>
              <w:top w:val="double" w:sz="4" w:space="0" w:color="auto"/>
            </w:tcBorders>
          </w:tcPr>
          <w:p w:rsidR="00807CFB" w:rsidRPr="000E3876" w:rsidRDefault="00807CFB" w:rsidP="00AD0C9A">
            <w:pPr>
              <w:jc w:val="both"/>
              <w:rPr>
                <w:sz w:val="20"/>
                <w:szCs w:val="20"/>
              </w:rPr>
            </w:pPr>
            <w:r w:rsidRPr="000E3876">
              <w:rPr>
                <w:b/>
                <w:sz w:val="20"/>
                <w:szCs w:val="20"/>
              </w:rPr>
              <w:t>Total Grant Resources</w:t>
            </w:r>
          </w:p>
        </w:tc>
        <w:tc>
          <w:tcPr>
            <w:tcW w:w="735" w:type="pct"/>
            <w:tcBorders>
              <w:top w:val="double" w:sz="4" w:space="0" w:color="auto"/>
            </w:tcBorders>
            <w:shd w:val="clear" w:color="auto" w:fill="auto"/>
          </w:tcPr>
          <w:p w:rsidR="00807CFB" w:rsidRPr="000E3876" w:rsidRDefault="00193942" w:rsidP="000C724F">
            <w:pPr>
              <w:jc w:val="right"/>
              <w:rPr>
                <w:sz w:val="20"/>
                <w:szCs w:val="20"/>
              </w:rPr>
            </w:pPr>
            <w:r w:rsidRPr="000E3876">
              <w:rPr>
                <w:sz w:val="20"/>
                <w:szCs w:val="20"/>
              </w:rPr>
              <w:t>970,000</w:t>
            </w:r>
          </w:p>
        </w:tc>
        <w:tc>
          <w:tcPr>
            <w:tcW w:w="634" w:type="pct"/>
            <w:tcBorders>
              <w:top w:val="double" w:sz="4" w:space="0" w:color="auto"/>
            </w:tcBorders>
          </w:tcPr>
          <w:p w:rsidR="00807CFB" w:rsidRPr="000E3876" w:rsidRDefault="00193942" w:rsidP="000C724F">
            <w:pPr>
              <w:jc w:val="right"/>
              <w:rPr>
                <w:sz w:val="20"/>
                <w:szCs w:val="20"/>
              </w:rPr>
            </w:pPr>
            <w:r w:rsidRPr="000E3876">
              <w:rPr>
                <w:sz w:val="20"/>
                <w:szCs w:val="20"/>
              </w:rPr>
              <w:t>92,150</w:t>
            </w:r>
          </w:p>
        </w:tc>
        <w:tc>
          <w:tcPr>
            <w:tcW w:w="708" w:type="pct"/>
            <w:tcBorders>
              <w:top w:val="double" w:sz="4" w:space="0" w:color="auto"/>
            </w:tcBorders>
            <w:shd w:val="clear" w:color="auto" w:fill="auto"/>
          </w:tcPr>
          <w:p w:rsidR="00807CFB" w:rsidRPr="000E3876" w:rsidRDefault="00193942" w:rsidP="000C724F">
            <w:pPr>
              <w:jc w:val="right"/>
              <w:rPr>
                <w:sz w:val="20"/>
                <w:szCs w:val="20"/>
              </w:rPr>
            </w:pPr>
            <w:r w:rsidRPr="000E3876">
              <w:rPr>
                <w:sz w:val="20"/>
                <w:szCs w:val="20"/>
              </w:rPr>
              <w:t>1,062,150</w:t>
            </w:r>
          </w:p>
        </w:tc>
      </w:tr>
    </w:tbl>
    <w:p w:rsidR="00930EA6" w:rsidRPr="0001061D" w:rsidRDefault="00930EA6" w:rsidP="00AD0C9A">
      <w:pPr>
        <w:pStyle w:val="Footer"/>
        <w:tabs>
          <w:tab w:val="clear" w:pos="4320"/>
          <w:tab w:val="clear" w:pos="8640"/>
        </w:tabs>
        <w:jc w:val="both"/>
        <w:rPr>
          <w:b/>
          <w:bCs/>
          <w:sz w:val="18"/>
          <w:szCs w:val="18"/>
        </w:rPr>
      </w:pPr>
    </w:p>
    <w:p w:rsidR="00E7482D" w:rsidRPr="0001061D" w:rsidRDefault="00E7482D" w:rsidP="00606431">
      <w:pPr>
        <w:pStyle w:val="Footer"/>
        <w:numPr>
          <w:ilvl w:val="0"/>
          <w:numId w:val="1"/>
        </w:numPr>
        <w:tabs>
          <w:tab w:val="clear" w:pos="720"/>
          <w:tab w:val="clear" w:pos="4320"/>
          <w:tab w:val="clear" w:pos="8640"/>
          <w:tab w:val="left" w:pos="-270"/>
        </w:tabs>
        <w:spacing w:before="240" w:after="80"/>
        <w:ind w:left="0" w:firstLine="0"/>
        <w:jc w:val="both"/>
        <w:rPr>
          <w:b/>
          <w:smallCaps/>
          <w:sz w:val="22"/>
          <w:szCs w:val="22"/>
        </w:rPr>
      </w:pPr>
      <w:r w:rsidRPr="0001061D">
        <w:rPr>
          <w:b/>
          <w:smallCaps/>
          <w:sz w:val="22"/>
          <w:szCs w:val="22"/>
        </w:rPr>
        <w:t>Project Preparation Grant (PPG)</w:t>
      </w:r>
      <w:r w:rsidRPr="0001061D">
        <w:rPr>
          <w:rStyle w:val="FootnoteReference"/>
          <w:b/>
          <w:smallCaps/>
          <w:sz w:val="22"/>
          <w:szCs w:val="22"/>
        </w:rPr>
        <w:footnoteReference w:id="3"/>
      </w:r>
      <w:r w:rsidR="005653A0" w:rsidRPr="0001061D">
        <w:rPr>
          <w:b/>
          <w:smallCaps/>
          <w:sz w:val="22"/>
          <w:szCs w:val="22"/>
        </w:rPr>
        <w:t xml:space="preserve"> </w:t>
      </w:r>
      <w:r w:rsidR="005653A0" w:rsidRPr="0001061D">
        <w:rPr>
          <w:smallCaps/>
          <w:sz w:val="22"/>
          <w:szCs w:val="22"/>
        </w:rPr>
        <w:t xml:space="preserve"> </w:t>
      </w:r>
    </w:p>
    <w:p w:rsidR="00CF3D71" w:rsidRPr="0001061D" w:rsidRDefault="00E7482D" w:rsidP="00606431">
      <w:pPr>
        <w:jc w:val="both"/>
        <w:rPr>
          <w:sz w:val="22"/>
          <w:szCs w:val="22"/>
        </w:rPr>
      </w:pPr>
      <w:r w:rsidRPr="0001061D">
        <w:rPr>
          <w:sz w:val="22"/>
          <w:szCs w:val="22"/>
        </w:rPr>
        <w:t xml:space="preserve">Please check on the appropriate box for PPG as needed for the project according to the GEF Project Grants: </w:t>
      </w:r>
    </w:p>
    <w:tbl>
      <w:tblPr>
        <w:tblW w:w="5000" w:type="pct"/>
        <w:shd w:val="clear" w:color="auto" w:fill="FFFFFF"/>
        <w:tblLook w:val="01E0" w:firstRow="1" w:lastRow="1" w:firstColumn="1" w:lastColumn="1" w:noHBand="0" w:noVBand="0"/>
      </w:tblPr>
      <w:tblGrid>
        <w:gridCol w:w="5871"/>
        <w:gridCol w:w="2633"/>
        <w:gridCol w:w="2512"/>
      </w:tblGrid>
      <w:tr w:rsidR="00BA5CBE" w:rsidRPr="0001061D" w:rsidTr="006D1543">
        <w:trPr>
          <w:trHeight w:val="249"/>
        </w:trPr>
        <w:tc>
          <w:tcPr>
            <w:tcW w:w="2665" w:type="pct"/>
            <w:shd w:val="clear" w:color="auto" w:fill="FFFFFF"/>
          </w:tcPr>
          <w:p w:rsidR="00E7482D" w:rsidRPr="0001061D" w:rsidRDefault="00E7482D" w:rsidP="00AD0C9A">
            <w:pPr>
              <w:pStyle w:val="Heading3"/>
              <w:ind w:left="72"/>
              <w:jc w:val="both"/>
              <w:rPr>
                <w:bCs w:val="0"/>
                <w:iCs/>
                <w:sz w:val="22"/>
                <w:szCs w:val="22"/>
              </w:rPr>
            </w:pPr>
          </w:p>
        </w:tc>
        <w:tc>
          <w:tcPr>
            <w:tcW w:w="1195" w:type="pct"/>
            <w:tcBorders>
              <w:bottom w:val="single" w:sz="4" w:space="0" w:color="auto"/>
            </w:tcBorders>
            <w:shd w:val="clear" w:color="auto" w:fill="FFFFFF"/>
          </w:tcPr>
          <w:p w:rsidR="00E7482D" w:rsidRPr="0001061D" w:rsidRDefault="00E7482D" w:rsidP="006D1543">
            <w:pPr>
              <w:pStyle w:val="Heading3"/>
              <w:jc w:val="both"/>
              <w:rPr>
                <w:bCs w:val="0"/>
                <w:iCs/>
                <w:sz w:val="22"/>
                <w:szCs w:val="22"/>
              </w:rPr>
            </w:pPr>
            <w:r w:rsidRPr="0001061D">
              <w:rPr>
                <w:b w:val="0"/>
                <w:iCs/>
                <w:sz w:val="22"/>
                <w:szCs w:val="22"/>
              </w:rPr>
              <w:t>Amount Requested ($)</w:t>
            </w:r>
            <w:r w:rsidRPr="0001061D">
              <w:rPr>
                <w:bCs w:val="0"/>
                <w:iCs/>
                <w:sz w:val="22"/>
                <w:szCs w:val="22"/>
              </w:rPr>
              <w:t xml:space="preserve"> </w:t>
            </w:r>
          </w:p>
        </w:tc>
        <w:tc>
          <w:tcPr>
            <w:tcW w:w="1140" w:type="pct"/>
            <w:tcBorders>
              <w:bottom w:val="single" w:sz="4" w:space="0" w:color="auto"/>
            </w:tcBorders>
            <w:shd w:val="clear" w:color="auto" w:fill="FFFFFF"/>
          </w:tcPr>
          <w:p w:rsidR="00E7482D" w:rsidRPr="0001061D" w:rsidRDefault="00E7482D" w:rsidP="00AD0C9A">
            <w:pPr>
              <w:pStyle w:val="Heading3"/>
              <w:jc w:val="both"/>
              <w:rPr>
                <w:b w:val="0"/>
                <w:iCs/>
                <w:sz w:val="22"/>
                <w:szCs w:val="22"/>
              </w:rPr>
            </w:pPr>
            <w:r w:rsidRPr="0001061D">
              <w:rPr>
                <w:b w:val="0"/>
                <w:iCs/>
                <w:sz w:val="22"/>
                <w:szCs w:val="22"/>
              </w:rPr>
              <w:t>Agency Fee for PPG ($)</w:t>
            </w:r>
            <w:r w:rsidRPr="0001061D">
              <w:rPr>
                <w:rStyle w:val="FootnoteReference"/>
                <w:b w:val="0"/>
                <w:iCs/>
                <w:sz w:val="22"/>
                <w:szCs w:val="22"/>
              </w:rPr>
              <w:footnoteReference w:id="4"/>
            </w:r>
            <w:r w:rsidRPr="0001061D">
              <w:rPr>
                <w:b w:val="0"/>
                <w:iCs/>
                <w:sz w:val="22"/>
                <w:szCs w:val="22"/>
              </w:rPr>
              <w:t xml:space="preserve"> </w:t>
            </w:r>
          </w:p>
        </w:tc>
      </w:tr>
      <w:tr w:rsidR="00BA5CBE" w:rsidRPr="0001061D" w:rsidTr="006D1543">
        <w:trPr>
          <w:trHeight w:val="494"/>
        </w:trPr>
        <w:tc>
          <w:tcPr>
            <w:tcW w:w="2665" w:type="pct"/>
            <w:shd w:val="clear" w:color="auto" w:fill="FFFFFF"/>
          </w:tcPr>
          <w:p w:rsidR="00E7482D" w:rsidRPr="000E3876" w:rsidRDefault="00130148" w:rsidP="00AD0C9A">
            <w:pPr>
              <w:numPr>
                <w:ilvl w:val="0"/>
                <w:numId w:val="4"/>
              </w:numPr>
              <w:ind w:left="397"/>
              <w:jc w:val="both"/>
              <w:rPr>
                <w:sz w:val="22"/>
                <w:szCs w:val="22"/>
              </w:rPr>
            </w:pPr>
            <w:r w:rsidRPr="000E3876">
              <w:rPr>
                <w:sz w:val="22"/>
                <w:szCs w:val="22"/>
              </w:rPr>
              <w:t>(up to) 50K for projects up to and including $1 million</w:t>
            </w:r>
          </w:p>
        </w:tc>
        <w:tc>
          <w:tcPr>
            <w:tcW w:w="1195" w:type="pct"/>
            <w:tcBorders>
              <w:top w:val="single" w:sz="4" w:space="0" w:color="auto"/>
            </w:tcBorders>
            <w:shd w:val="clear" w:color="auto" w:fill="FFFFFF"/>
          </w:tcPr>
          <w:p w:rsidR="00E7482D" w:rsidRPr="000E3876" w:rsidRDefault="00193942" w:rsidP="006D1543">
            <w:pPr>
              <w:jc w:val="center"/>
              <w:rPr>
                <w:sz w:val="22"/>
                <w:szCs w:val="22"/>
              </w:rPr>
            </w:pPr>
            <w:r w:rsidRPr="000E3876">
              <w:rPr>
                <w:sz w:val="22"/>
                <w:szCs w:val="22"/>
              </w:rPr>
              <w:t>30</w:t>
            </w:r>
            <w:r w:rsidR="00F06CDA" w:rsidRPr="000E3876">
              <w:rPr>
                <w:sz w:val="22"/>
                <w:szCs w:val="22"/>
              </w:rPr>
              <w:t>,000</w:t>
            </w:r>
          </w:p>
        </w:tc>
        <w:tc>
          <w:tcPr>
            <w:tcW w:w="1140" w:type="pct"/>
            <w:tcBorders>
              <w:top w:val="single" w:sz="4" w:space="0" w:color="auto"/>
            </w:tcBorders>
            <w:shd w:val="clear" w:color="auto" w:fill="FFFFFF"/>
          </w:tcPr>
          <w:p w:rsidR="00E7482D" w:rsidRPr="000E3876" w:rsidRDefault="00193942" w:rsidP="006D1543">
            <w:pPr>
              <w:jc w:val="center"/>
              <w:rPr>
                <w:sz w:val="22"/>
                <w:szCs w:val="22"/>
              </w:rPr>
            </w:pPr>
            <w:r w:rsidRPr="000E3876">
              <w:rPr>
                <w:sz w:val="22"/>
                <w:szCs w:val="22"/>
              </w:rPr>
              <w:t>2,850</w:t>
            </w:r>
          </w:p>
        </w:tc>
      </w:tr>
    </w:tbl>
    <w:p w:rsidR="00E7482D" w:rsidRPr="0001061D" w:rsidRDefault="00E7482D" w:rsidP="00606431">
      <w:pPr>
        <w:pStyle w:val="Footer"/>
        <w:tabs>
          <w:tab w:val="clear" w:pos="4320"/>
          <w:tab w:val="clear" w:pos="8640"/>
          <w:tab w:val="left" w:pos="270"/>
        </w:tabs>
        <w:spacing w:before="240" w:after="80"/>
        <w:jc w:val="both"/>
        <w:rPr>
          <w:b/>
          <w:smallCaps/>
          <w:sz w:val="22"/>
          <w:szCs w:val="22"/>
        </w:rPr>
      </w:pPr>
      <w:r w:rsidRPr="0001061D">
        <w:rPr>
          <w:b/>
          <w:smallCaps/>
          <w:sz w:val="22"/>
          <w:szCs w:val="22"/>
        </w:rPr>
        <w:lastRenderedPageBreak/>
        <w:t xml:space="preserve">PPG Amount requested by </w:t>
      </w:r>
      <w:proofErr w:type="gramStart"/>
      <w:r w:rsidRPr="0001061D">
        <w:rPr>
          <w:b/>
          <w:smallCaps/>
          <w:sz w:val="22"/>
          <w:szCs w:val="22"/>
        </w:rPr>
        <w:t>agency(</w:t>
      </w:r>
      <w:proofErr w:type="spellStart"/>
      <w:proofErr w:type="gramEnd"/>
      <w:r w:rsidRPr="0001061D">
        <w:rPr>
          <w:b/>
          <w:smallCaps/>
          <w:sz w:val="22"/>
          <w:szCs w:val="22"/>
        </w:rPr>
        <w:t>ies</w:t>
      </w:r>
      <w:proofErr w:type="spellEnd"/>
      <w:r w:rsidRPr="0001061D">
        <w:rPr>
          <w:b/>
          <w:smallCaps/>
          <w:sz w:val="22"/>
          <w:szCs w:val="22"/>
        </w:rPr>
        <w:t>), Focal area(s) and country(</w:t>
      </w:r>
      <w:proofErr w:type="spellStart"/>
      <w:r w:rsidRPr="0001061D">
        <w:rPr>
          <w:b/>
          <w:smallCaps/>
          <w:sz w:val="22"/>
          <w:szCs w:val="22"/>
        </w:rPr>
        <w:t>ies</w:t>
      </w:r>
      <w:proofErr w:type="spellEnd"/>
      <w:r w:rsidRPr="0001061D">
        <w:rPr>
          <w:b/>
          <w:smallCaps/>
          <w:sz w:val="22"/>
          <w:szCs w:val="22"/>
        </w:rPr>
        <w:t xml:space="preserve">) for  MFA and/or </w:t>
      </w:r>
      <w:proofErr w:type="spellStart"/>
      <w:r w:rsidRPr="0001061D">
        <w:rPr>
          <w:b/>
          <w:smallCaps/>
          <w:sz w:val="22"/>
          <w:szCs w:val="22"/>
        </w:rPr>
        <w:t>mtf</w:t>
      </w:r>
      <w:proofErr w:type="spellEnd"/>
      <w:r w:rsidRPr="0001061D">
        <w:rPr>
          <w:b/>
          <w:smallCaps/>
          <w:sz w:val="22"/>
          <w:szCs w:val="22"/>
        </w:rPr>
        <w:t xml:space="preserve"> project only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408"/>
        <w:gridCol w:w="2113"/>
        <w:gridCol w:w="1871"/>
        <w:gridCol w:w="1351"/>
        <w:gridCol w:w="1500"/>
        <w:gridCol w:w="1492"/>
      </w:tblGrid>
      <w:tr w:rsidR="00BA5CBE" w:rsidRPr="0001061D" w:rsidTr="00606431">
        <w:trPr>
          <w:trHeight w:val="260"/>
        </w:trPr>
        <w:tc>
          <w:tcPr>
            <w:tcW w:w="582" w:type="pct"/>
            <w:vMerge w:val="restart"/>
            <w:shd w:val="clear" w:color="auto" w:fill="auto"/>
            <w:vAlign w:val="center"/>
          </w:tcPr>
          <w:p w:rsidR="00E7482D" w:rsidRPr="0001061D" w:rsidRDefault="00E7482D" w:rsidP="00AD0C9A">
            <w:pPr>
              <w:jc w:val="both"/>
              <w:rPr>
                <w:b/>
                <w:smallCaps/>
                <w:sz w:val="20"/>
                <w:szCs w:val="20"/>
              </w:rPr>
            </w:pPr>
            <w:r w:rsidRPr="0001061D">
              <w:rPr>
                <w:b/>
                <w:smallCaps/>
                <w:sz w:val="20"/>
                <w:szCs w:val="20"/>
              </w:rPr>
              <w:t>Trust Fund</w:t>
            </w:r>
          </w:p>
        </w:tc>
        <w:tc>
          <w:tcPr>
            <w:tcW w:w="639" w:type="pct"/>
            <w:vMerge w:val="restart"/>
            <w:vAlign w:val="center"/>
          </w:tcPr>
          <w:p w:rsidR="00E7482D" w:rsidRPr="0001061D" w:rsidRDefault="00E7482D" w:rsidP="00AD0C9A">
            <w:pPr>
              <w:jc w:val="both"/>
              <w:rPr>
                <w:b/>
                <w:smallCaps/>
                <w:sz w:val="20"/>
                <w:szCs w:val="20"/>
              </w:rPr>
            </w:pPr>
            <w:r w:rsidRPr="0001061D">
              <w:rPr>
                <w:b/>
                <w:smallCaps/>
                <w:sz w:val="20"/>
                <w:szCs w:val="20"/>
              </w:rPr>
              <w:t>GEF Agency</w:t>
            </w:r>
          </w:p>
        </w:tc>
        <w:tc>
          <w:tcPr>
            <w:tcW w:w="959" w:type="pct"/>
            <w:vMerge w:val="restart"/>
            <w:shd w:val="clear" w:color="auto" w:fill="auto"/>
            <w:vAlign w:val="center"/>
          </w:tcPr>
          <w:p w:rsidR="00E7482D" w:rsidRPr="0001061D" w:rsidRDefault="00E7482D" w:rsidP="00AD0C9A">
            <w:pPr>
              <w:jc w:val="both"/>
              <w:rPr>
                <w:b/>
                <w:smallCaps/>
                <w:sz w:val="20"/>
                <w:szCs w:val="20"/>
              </w:rPr>
            </w:pPr>
            <w:r w:rsidRPr="0001061D">
              <w:rPr>
                <w:b/>
                <w:smallCaps/>
                <w:sz w:val="20"/>
                <w:szCs w:val="20"/>
              </w:rPr>
              <w:t>Focal area</w:t>
            </w:r>
          </w:p>
        </w:tc>
        <w:tc>
          <w:tcPr>
            <w:tcW w:w="849" w:type="pct"/>
            <w:vMerge w:val="restart"/>
            <w:shd w:val="clear" w:color="auto" w:fill="auto"/>
            <w:vAlign w:val="center"/>
          </w:tcPr>
          <w:p w:rsidR="002E5474" w:rsidRPr="0001061D" w:rsidRDefault="002E5474" w:rsidP="00AD0C9A">
            <w:pPr>
              <w:jc w:val="both"/>
              <w:rPr>
                <w:b/>
                <w:sz w:val="20"/>
                <w:szCs w:val="20"/>
              </w:rPr>
            </w:pPr>
            <w:r w:rsidRPr="0001061D">
              <w:rPr>
                <w:b/>
                <w:sz w:val="20"/>
                <w:szCs w:val="20"/>
              </w:rPr>
              <w:t xml:space="preserve">Country </w:t>
            </w:r>
          </w:p>
          <w:p w:rsidR="00E7482D" w:rsidRPr="0001061D" w:rsidRDefault="002E5474" w:rsidP="00AD0C9A">
            <w:pPr>
              <w:ind w:right="-77"/>
              <w:jc w:val="both"/>
              <w:rPr>
                <w:b/>
                <w:sz w:val="20"/>
                <w:szCs w:val="20"/>
              </w:rPr>
            </w:pPr>
            <w:r w:rsidRPr="0001061D">
              <w:rPr>
                <w:b/>
                <w:sz w:val="20"/>
                <w:szCs w:val="20"/>
              </w:rPr>
              <w:t>N</w:t>
            </w:r>
            <w:r w:rsidR="00E7482D" w:rsidRPr="0001061D">
              <w:rPr>
                <w:b/>
                <w:sz w:val="20"/>
                <w:szCs w:val="20"/>
              </w:rPr>
              <w:t>ame/Global</w:t>
            </w:r>
          </w:p>
        </w:tc>
        <w:tc>
          <w:tcPr>
            <w:tcW w:w="1971" w:type="pct"/>
            <w:gridSpan w:val="3"/>
            <w:shd w:val="clear" w:color="auto" w:fill="auto"/>
            <w:vAlign w:val="center"/>
          </w:tcPr>
          <w:p w:rsidR="00E7482D" w:rsidRPr="0001061D" w:rsidRDefault="00E7482D" w:rsidP="00AD0C9A">
            <w:pPr>
              <w:ind w:firstLine="195"/>
              <w:jc w:val="both"/>
              <w:rPr>
                <w:b/>
                <w:sz w:val="20"/>
                <w:szCs w:val="20"/>
              </w:rPr>
            </w:pPr>
            <w:r w:rsidRPr="0001061D">
              <w:rPr>
                <w:b/>
                <w:sz w:val="20"/>
                <w:szCs w:val="20"/>
              </w:rPr>
              <w:t>(in $)</w:t>
            </w:r>
          </w:p>
        </w:tc>
      </w:tr>
      <w:tr w:rsidR="00BA5CBE" w:rsidRPr="0001061D" w:rsidTr="00606431">
        <w:trPr>
          <w:trHeight w:val="260"/>
        </w:trPr>
        <w:tc>
          <w:tcPr>
            <w:tcW w:w="582" w:type="pct"/>
            <w:vMerge/>
            <w:shd w:val="clear" w:color="auto" w:fill="auto"/>
            <w:vAlign w:val="center"/>
          </w:tcPr>
          <w:p w:rsidR="00E7482D" w:rsidRPr="0001061D" w:rsidRDefault="00E7482D" w:rsidP="00AD0C9A">
            <w:pPr>
              <w:jc w:val="both"/>
              <w:rPr>
                <w:b/>
                <w:smallCaps/>
                <w:sz w:val="20"/>
                <w:szCs w:val="20"/>
              </w:rPr>
            </w:pPr>
          </w:p>
        </w:tc>
        <w:tc>
          <w:tcPr>
            <w:tcW w:w="639" w:type="pct"/>
            <w:vMerge/>
            <w:vAlign w:val="center"/>
          </w:tcPr>
          <w:p w:rsidR="00E7482D" w:rsidRPr="0001061D" w:rsidRDefault="00E7482D" w:rsidP="00AD0C9A">
            <w:pPr>
              <w:jc w:val="both"/>
              <w:rPr>
                <w:b/>
                <w:smallCaps/>
                <w:sz w:val="20"/>
                <w:szCs w:val="20"/>
              </w:rPr>
            </w:pPr>
          </w:p>
        </w:tc>
        <w:tc>
          <w:tcPr>
            <w:tcW w:w="959" w:type="pct"/>
            <w:vMerge/>
            <w:shd w:val="clear" w:color="auto" w:fill="auto"/>
            <w:vAlign w:val="center"/>
          </w:tcPr>
          <w:p w:rsidR="00E7482D" w:rsidRPr="0001061D" w:rsidRDefault="00E7482D" w:rsidP="00AD0C9A">
            <w:pPr>
              <w:jc w:val="both"/>
              <w:rPr>
                <w:b/>
                <w:smallCaps/>
                <w:sz w:val="20"/>
                <w:szCs w:val="20"/>
              </w:rPr>
            </w:pPr>
          </w:p>
        </w:tc>
        <w:tc>
          <w:tcPr>
            <w:tcW w:w="849" w:type="pct"/>
            <w:vMerge/>
            <w:shd w:val="clear" w:color="auto" w:fill="auto"/>
            <w:vAlign w:val="center"/>
          </w:tcPr>
          <w:p w:rsidR="00E7482D" w:rsidRPr="0001061D" w:rsidRDefault="00E7482D" w:rsidP="00AD0C9A">
            <w:pPr>
              <w:jc w:val="both"/>
              <w:rPr>
                <w:b/>
                <w:sz w:val="20"/>
                <w:szCs w:val="20"/>
              </w:rPr>
            </w:pPr>
          </w:p>
        </w:tc>
        <w:tc>
          <w:tcPr>
            <w:tcW w:w="613" w:type="pct"/>
            <w:shd w:val="clear" w:color="auto" w:fill="auto"/>
            <w:vAlign w:val="bottom"/>
          </w:tcPr>
          <w:p w:rsidR="00E7482D" w:rsidRPr="0001061D" w:rsidRDefault="00E7482D" w:rsidP="00AD0C9A">
            <w:pPr>
              <w:jc w:val="both"/>
              <w:rPr>
                <w:b/>
                <w:sz w:val="20"/>
                <w:szCs w:val="20"/>
              </w:rPr>
            </w:pPr>
            <w:r w:rsidRPr="0001061D">
              <w:rPr>
                <w:b/>
                <w:sz w:val="20"/>
                <w:szCs w:val="20"/>
              </w:rPr>
              <w:t xml:space="preserve">PPG </w:t>
            </w:r>
            <w:r w:rsidRPr="0001061D">
              <w:rPr>
                <w:bCs/>
                <w:sz w:val="20"/>
                <w:szCs w:val="20"/>
              </w:rPr>
              <w:t>(a)</w:t>
            </w:r>
          </w:p>
        </w:tc>
        <w:tc>
          <w:tcPr>
            <w:tcW w:w="681" w:type="pct"/>
            <w:shd w:val="clear" w:color="auto" w:fill="auto"/>
          </w:tcPr>
          <w:p w:rsidR="00E7482D" w:rsidRPr="0001061D" w:rsidRDefault="00E7482D" w:rsidP="00AD0C9A">
            <w:pPr>
              <w:jc w:val="both"/>
              <w:rPr>
                <w:b/>
                <w:sz w:val="20"/>
                <w:szCs w:val="20"/>
              </w:rPr>
            </w:pPr>
            <w:r w:rsidRPr="0001061D">
              <w:rPr>
                <w:b/>
                <w:sz w:val="20"/>
                <w:szCs w:val="20"/>
              </w:rPr>
              <w:t xml:space="preserve">Agency Fee </w:t>
            </w:r>
            <w:r w:rsidRPr="0001061D">
              <w:rPr>
                <w:bCs/>
                <w:sz w:val="20"/>
                <w:szCs w:val="20"/>
              </w:rPr>
              <w:t>(b)</w:t>
            </w:r>
          </w:p>
        </w:tc>
        <w:tc>
          <w:tcPr>
            <w:tcW w:w="677" w:type="pct"/>
            <w:shd w:val="clear" w:color="auto" w:fill="auto"/>
          </w:tcPr>
          <w:p w:rsidR="00E7482D" w:rsidRPr="0001061D" w:rsidRDefault="00E7482D" w:rsidP="00AD0C9A">
            <w:pPr>
              <w:ind w:firstLine="195"/>
              <w:jc w:val="both"/>
              <w:rPr>
                <w:b/>
                <w:sz w:val="20"/>
                <w:szCs w:val="20"/>
              </w:rPr>
            </w:pPr>
            <w:r w:rsidRPr="0001061D">
              <w:rPr>
                <w:b/>
                <w:sz w:val="20"/>
                <w:szCs w:val="20"/>
              </w:rPr>
              <w:t>Total</w:t>
            </w:r>
          </w:p>
          <w:p w:rsidR="00E7482D" w:rsidRPr="0001061D" w:rsidRDefault="00E7482D" w:rsidP="00AD0C9A">
            <w:pPr>
              <w:ind w:firstLine="195"/>
              <w:jc w:val="both"/>
              <w:rPr>
                <w:bCs/>
                <w:sz w:val="20"/>
                <w:szCs w:val="20"/>
              </w:rPr>
            </w:pPr>
            <w:r w:rsidRPr="0001061D">
              <w:rPr>
                <w:bCs/>
                <w:sz w:val="20"/>
                <w:szCs w:val="20"/>
              </w:rPr>
              <w:t>c = a + b</w:t>
            </w:r>
          </w:p>
        </w:tc>
      </w:tr>
      <w:tr w:rsidR="00BA5CBE" w:rsidRPr="0001061D" w:rsidTr="00606431">
        <w:trPr>
          <w:trHeight w:val="253"/>
        </w:trPr>
        <w:tc>
          <w:tcPr>
            <w:tcW w:w="582" w:type="pct"/>
            <w:shd w:val="clear" w:color="auto" w:fill="auto"/>
          </w:tcPr>
          <w:p w:rsidR="00A262F8" w:rsidRPr="0001061D" w:rsidRDefault="004603CD" w:rsidP="00AD0C9A">
            <w:pPr>
              <w:jc w:val="both"/>
              <w:rPr>
                <w:sz w:val="20"/>
                <w:szCs w:val="20"/>
              </w:rPr>
            </w:pPr>
            <w:r w:rsidRPr="0001061D">
              <w:rPr>
                <w:sz w:val="20"/>
                <w:szCs w:val="20"/>
              </w:rPr>
              <w:t>NPIF</w:t>
            </w:r>
          </w:p>
        </w:tc>
        <w:tc>
          <w:tcPr>
            <w:tcW w:w="639" w:type="pct"/>
          </w:tcPr>
          <w:p w:rsidR="00A262F8" w:rsidRPr="0001061D" w:rsidRDefault="00A262F8" w:rsidP="00AD0C9A">
            <w:pPr>
              <w:jc w:val="both"/>
              <w:rPr>
                <w:sz w:val="20"/>
                <w:szCs w:val="20"/>
              </w:rPr>
            </w:pPr>
            <w:r w:rsidRPr="0001061D">
              <w:rPr>
                <w:sz w:val="20"/>
                <w:szCs w:val="20"/>
              </w:rPr>
              <w:t>UNDP</w:t>
            </w:r>
          </w:p>
        </w:tc>
        <w:tc>
          <w:tcPr>
            <w:tcW w:w="959" w:type="pct"/>
            <w:shd w:val="clear" w:color="auto" w:fill="auto"/>
          </w:tcPr>
          <w:p w:rsidR="00A262F8" w:rsidRPr="0001061D" w:rsidRDefault="00A262F8" w:rsidP="00AD0C9A">
            <w:pPr>
              <w:jc w:val="both"/>
              <w:rPr>
                <w:sz w:val="20"/>
                <w:szCs w:val="20"/>
              </w:rPr>
            </w:pPr>
            <w:r w:rsidRPr="0001061D">
              <w:rPr>
                <w:sz w:val="20"/>
                <w:szCs w:val="20"/>
              </w:rPr>
              <w:t>Biodiversity</w:t>
            </w:r>
          </w:p>
        </w:tc>
        <w:tc>
          <w:tcPr>
            <w:tcW w:w="849" w:type="pct"/>
            <w:shd w:val="clear" w:color="auto" w:fill="auto"/>
          </w:tcPr>
          <w:p w:rsidR="00A262F8" w:rsidRPr="0001061D" w:rsidRDefault="00A262F8" w:rsidP="00AD0C9A">
            <w:pPr>
              <w:jc w:val="both"/>
              <w:rPr>
                <w:sz w:val="20"/>
                <w:szCs w:val="20"/>
              </w:rPr>
            </w:pPr>
            <w:r w:rsidRPr="0001061D">
              <w:rPr>
                <w:sz w:val="20"/>
                <w:szCs w:val="20"/>
              </w:rPr>
              <w:t>Cook Islands</w:t>
            </w:r>
          </w:p>
        </w:tc>
        <w:tc>
          <w:tcPr>
            <w:tcW w:w="613" w:type="pct"/>
            <w:shd w:val="clear" w:color="auto" w:fill="auto"/>
          </w:tcPr>
          <w:p w:rsidR="00A262F8" w:rsidRPr="0001061D" w:rsidRDefault="007A63C1" w:rsidP="003F280F">
            <w:pPr>
              <w:jc w:val="right"/>
              <w:rPr>
                <w:sz w:val="20"/>
                <w:szCs w:val="20"/>
              </w:rPr>
            </w:pPr>
            <w:r>
              <w:rPr>
                <w:sz w:val="20"/>
                <w:szCs w:val="20"/>
              </w:rPr>
              <w:t>30</w:t>
            </w:r>
            <w:r w:rsidR="003F280F">
              <w:rPr>
                <w:sz w:val="20"/>
                <w:szCs w:val="20"/>
              </w:rPr>
              <w:t>,000</w:t>
            </w:r>
          </w:p>
        </w:tc>
        <w:tc>
          <w:tcPr>
            <w:tcW w:w="681" w:type="pct"/>
            <w:shd w:val="clear" w:color="auto" w:fill="auto"/>
          </w:tcPr>
          <w:p w:rsidR="00A262F8" w:rsidRPr="0001061D" w:rsidRDefault="007A63C1" w:rsidP="003F280F">
            <w:pPr>
              <w:jc w:val="right"/>
              <w:rPr>
                <w:sz w:val="20"/>
                <w:szCs w:val="20"/>
              </w:rPr>
            </w:pPr>
            <w:r>
              <w:rPr>
                <w:sz w:val="20"/>
                <w:szCs w:val="20"/>
              </w:rPr>
              <w:t>2,850</w:t>
            </w:r>
          </w:p>
        </w:tc>
        <w:tc>
          <w:tcPr>
            <w:tcW w:w="677" w:type="pct"/>
            <w:shd w:val="clear" w:color="auto" w:fill="auto"/>
          </w:tcPr>
          <w:p w:rsidR="00A262F8" w:rsidRPr="0001061D" w:rsidRDefault="007A63C1" w:rsidP="003F280F">
            <w:pPr>
              <w:jc w:val="right"/>
              <w:rPr>
                <w:sz w:val="20"/>
                <w:szCs w:val="20"/>
              </w:rPr>
            </w:pPr>
            <w:r>
              <w:rPr>
                <w:sz w:val="20"/>
                <w:szCs w:val="20"/>
              </w:rPr>
              <w:t>32,850</w:t>
            </w:r>
          </w:p>
        </w:tc>
      </w:tr>
      <w:tr w:rsidR="00F06CDA" w:rsidRPr="0001061D" w:rsidTr="00606431">
        <w:trPr>
          <w:trHeight w:val="253"/>
        </w:trPr>
        <w:tc>
          <w:tcPr>
            <w:tcW w:w="3029" w:type="pct"/>
            <w:gridSpan w:val="4"/>
            <w:tcBorders>
              <w:top w:val="double" w:sz="4" w:space="0" w:color="auto"/>
            </w:tcBorders>
          </w:tcPr>
          <w:p w:rsidR="00F06CDA" w:rsidRPr="0001061D" w:rsidRDefault="00F06CDA" w:rsidP="00AD0C9A">
            <w:pPr>
              <w:jc w:val="both"/>
              <w:rPr>
                <w:sz w:val="20"/>
                <w:szCs w:val="20"/>
              </w:rPr>
            </w:pPr>
            <w:r w:rsidRPr="0001061D">
              <w:rPr>
                <w:b/>
                <w:sz w:val="20"/>
                <w:szCs w:val="20"/>
              </w:rPr>
              <w:t>Total PPG Amount</w:t>
            </w:r>
          </w:p>
        </w:tc>
        <w:tc>
          <w:tcPr>
            <w:tcW w:w="613" w:type="pct"/>
            <w:tcBorders>
              <w:top w:val="double" w:sz="4" w:space="0" w:color="auto"/>
            </w:tcBorders>
            <w:shd w:val="clear" w:color="auto" w:fill="auto"/>
          </w:tcPr>
          <w:p w:rsidR="00F06CDA" w:rsidRPr="0001061D" w:rsidRDefault="007A63C1" w:rsidP="003F280F">
            <w:pPr>
              <w:jc w:val="right"/>
              <w:rPr>
                <w:sz w:val="20"/>
                <w:szCs w:val="20"/>
              </w:rPr>
            </w:pPr>
            <w:r>
              <w:rPr>
                <w:sz w:val="20"/>
                <w:szCs w:val="20"/>
              </w:rPr>
              <w:t>30</w:t>
            </w:r>
            <w:r w:rsidR="00F06CDA" w:rsidRPr="0001061D">
              <w:rPr>
                <w:sz w:val="20"/>
                <w:szCs w:val="20"/>
              </w:rPr>
              <w:t>,000</w:t>
            </w:r>
          </w:p>
        </w:tc>
        <w:tc>
          <w:tcPr>
            <w:tcW w:w="681" w:type="pct"/>
            <w:tcBorders>
              <w:top w:val="double" w:sz="4" w:space="0" w:color="auto"/>
            </w:tcBorders>
          </w:tcPr>
          <w:p w:rsidR="00F06CDA" w:rsidRPr="0001061D" w:rsidRDefault="007A63C1" w:rsidP="003F280F">
            <w:pPr>
              <w:jc w:val="right"/>
              <w:rPr>
                <w:sz w:val="20"/>
                <w:szCs w:val="20"/>
              </w:rPr>
            </w:pPr>
            <w:r>
              <w:rPr>
                <w:sz w:val="20"/>
                <w:szCs w:val="20"/>
              </w:rPr>
              <w:t>2,850</w:t>
            </w:r>
          </w:p>
        </w:tc>
        <w:tc>
          <w:tcPr>
            <w:tcW w:w="677" w:type="pct"/>
            <w:tcBorders>
              <w:top w:val="double" w:sz="4" w:space="0" w:color="auto"/>
            </w:tcBorders>
            <w:shd w:val="clear" w:color="auto" w:fill="auto"/>
          </w:tcPr>
          <w:p w:rsidR="00F06CDA" w:rsidRPr="0001061D" w:rsidRDefault="007A63C1" w:rsidP="003F280F">
            <w:pPr>
              <w:jc w:val="right"/>
              <w:rPr>
                <w:sz w:val="20"/>
                <w:szCs w:val="20"/>
              </w:rPr>
            </w:pPr>
            <w:r>
              <w:rPr>
                <w:sz w:val="20"/>
                <w:szCs w:val="20"/>
              </w:rPr>
              <w:t>32,850</w:t>
            </w:r>
          </w:p>
        </w:tc>
      </w:tr>
    </w:tbl>
    <w:p w:rsidR="00E7482D" w:rsidRPr="0001061D" w:rsidRDefault="00E7482D" w:rsidP="00AD0C9A">
      <w:pPr>
        <w:jc w:val="both"/>
        <w:rPr>
          <w:sz w:val="22"/>
          <w:szCs w:val="22"/>
        </w:rPr>
      </w:pPr>
    </w:p>
    <w:p w:rsidR="00934AAD" w:rsidRPr="0001061D" w:rsidRDefault="00934AAD" w:rsidP="00606431">
      <w:pPr>
        <w:pStyle w:val="Footer"/>
        <w:jc w:val="both"/>
        <w:rPr>
          <w:b/>
          <w:caps/>
          <w:sz w:val="22"/>
          <w:szCs w:val="22"/>
          <w:u w:val="single"/>
        </w:rPr>
      </w:pPr>
      <w:r w:rsidRPr="0001061D">
        <w:rPr>
          <w:b/>
          <w:caps/>
          <w:sz w:val="22"/>
          <w:szCs w:val="22"/>
          <w:u w:val="single"/>
        </w:rPr>
        <w:t>part ii:  project JustiFication</w:t>
      </w:r>
    </w:p>
    <w:p w:rsidR="00C73736" w:rsidRPr="0001061D" w:rsidRDefault="00934AAD" w:rsidP="00606431">
      <w:pPr>
        <w:pStyle w:val="Footer"/>
        <w:numPr>
          <w:ilvl w:val="0"/>
          <w:numId w:val="2"/>
        </w:numPr>
        <w:tabs>
          <w:tab w:val="clear" w:pos="720"/>
          <w:tab w:val="clear" w:pos="4320"/>
          <w:tab w:val="clear" w:pos="8640"/>
          <w:tab w:val="num" w:pos="-540"/>
        </w:tabs>
        <w:spacing w:after="80"/>
        <w:ind w:left="0" w:firstLine="0"/>
        <w:jc w:val="both"/>
        <w:rPr>
          <w:sz w:val="22"/>
          <w:szCs w:val="22"/>
        </w:rPr>
      </w:pPr>
      <w:r w:rsidRPr="0001061D">
        <w:rPr>
          <w:b/>
          <w:smallCaps/>
          <w:sz w:val="22"/>
          <w:szCs w:val="22"/>
        </w:rPr>
        <w:t>Project Overview:</w:t>
      </w:r>
    </w:p>
    <w:p w:rsidR="00FF7F02" w:rsidRPr="0001061D" w:rsidRDefault="00E7482D" w:rsidP="00606431">
      <w:pPr>
        <w:pStyle w:val="Footer"/>
        <w:tabs>
          <w:tab w:val="clear" w:pos="4320"/>
          <w:tab w:val="clear" w:pos="8640"/>
        </w:tabs>
        <w:spacing w:after="80"/>
        <w:jc w:val="both"/>
        <w:rPr>
          <w:sz w:val="22"/>
          <w:szCs w:val="22"/>
        </w:rPr>
      </w:pPr>
      <w:proofErr w:type="gramStart"/>
      <w:r w:rsidRPr="0001061D">
        <w:rPr>
          <w:sz w:val="22"/>
          <w:szCs w:val="22"/>
        </w:rPr>
        <w:t>A.1. Project Description.</w:t>
      </w:r>
      <w:proofErr w:type="gramEnd"/>
      <w:r w:rsidRPr="0001061D">
        <w:rPr>
          <w:sz w:val="22"/>
          <w:szCs w:val="22"/>
        </w:rPr>
        <w:t xml:space="preserve"> </w:t>
      </w:r>
    </w:p>
    <w:p w:rsidR="000C724F" w:rsidRPr="0001061D" w:rsidRDefault="001568DB" w:rsidP="008B5439">
      <w:pPr>
        <w:pStyle w:val="Footer"/>
        <w:spacing w:after="80"/>
        <w:jc w:val="both"/>
        <w:rPr>
          <w:b/>
          <w:bCs/>
          <w:i/>
          <w:iCs/>
          <w:sz w:val="22"/>
          <w:szCs w:val="22"/>
        </w:rPr>
      </w:pPr>
      <w:bookmarkStart w:id="3" w:name="baselineProj"/>
      <w:r w:rsidRPr="0001061D">
        <w:rPr>
          <w:sz w:val="22"/>
          <w:szCs w:val="22"/>
        </w:rPr>
        <w:t>The</w:t>
      </w:r>
      <w:r w:rsidR="00842E42" w:rsidRPr="0001061D">
        <w:rPr>
          <w:sz w:val="22"/>
          <w:szCs w:val="22"/>
        </w:rPr>
        <w:t xml:space="preserve"> Pacific</w:t>
      </w:r>
      <w:r w:rsidRPr="0001061D">
        <w:rPr>
          <w:sz w:val="22"/>
          <w:szCs w:val="22"/>
        </w:rPr>
        <w:t xml:space="preserve"> nation of </w:t>
      </w:r>
      <w:r w:rsidR="00CB6499" w:rsidRPr="0001061D">
        <w:rPr>
          <w:sz w:val="22"/>
          <w:szCs w:val="22"/>
        </w:rPr>
        <w:t xml:space="preserve">the </w:t>
      </w:r>
      <w:r w:rsidRPr="0001061D">
        <w:rPr>
          <w:sz w:val="22"/>
          <w:szCs w:val="22"/>
        </w:rPr>
        <w:t>Cook Islands is made up of 15 islands located within a 2 million km</w:t>
      </w:r>
      <w:r w:rsidRPr="000C724F">
        <w:rPr>
          <w:sz w:val="22"/>
          <w:szCs w:val="22"/>
          <w:vertAlign w:val="superscript"/>
        </w:rPr>
        <w:t>2</w:t>
      </w:r>
      <w:r w:rsidRPr="0001061D">
        <w:rPr>
          <w:sz w:val="22"/>
          <w:szCs w:val="22"/>
        </w:rPr>
        <w:t xml:space="preserve"> of EEZ in the Southern Pacific Ocean</w:t>
      </w:r>
      <w:r w:rsidR="00842E42" w:rsidRPr="0001061D">
        <w:rPr>
          <w:sz w:val="22"/>
          <w:szCs w:val="22"/>
        </w:rPr>
        <w:t xml:space="preserve">. </w:t>
      </w:r>
      <w:r w:rsidR="00842E42" w:rsidRPr="0001061D">
        <w:rPr>
          <w:bCs/>
          <w:iCs/>
          <w:sz w:val="22"/>
          <w:szCs w:val="22"/>
        </w:rPr>
        <w:t xml:space="preserve">The Cook Islands has extremely limited land resources, with 99.99% of the area within the EEZ consisting of marine areas. Of its approximate 240 </w:t>
      </w:r>
      <w:r w:rsidR="000C724F">
        <w:rPr>
          <w:bCs/>
          <w:iCs/>
          <w:sz w:val="22"/>
          <w:szCs w:val="22"/>
        </w:rPr>
        <w:t>km</w:t>
      </w:r>
      <w:r w:rsidR="000C724F" w:rsidRPr="000C724F">
        <w:rPr>
          <w:bCs/>
          <w:iCs/>
          <w:sz w:val="22"/>
          <w:szCs w:val="22"/>
          <w:vertAlign w:val="superscript"/>
        </w:rPr>
        <w:t>2</w:t>
      </w:r>
      <w:r w:rsidR="00842E42" w:rsidRPr="0001061D">
        <w:rPr>
          <w:bCs/>
          <w:iCs/>
          <w:sz w:val="22"/>
          <w:szCs w:val="22"/>
        </w:rPr>
        <w:t xml:space="preserve"> of land, 26.2 % is </w:t>
      </w:r>
      <w:proofErr w:type="spellStart"/>
      <w:r w:rsidR="00842E42" w:rsidRPr="0001061D">
        <w:rPr>
          <w:bCs/>
          <w:i/>
          <w:iCs/>
          <w:sz w:val="22"/>
          <w:szCs w:val="22"/>
        </w:rPr>
        <w:t>makatea</w:t>
      </w:r>
      <w:proofErr w:type="spellEnd"/>
      <w:r w:rsidR="00842E42" w:rsidRPr="0001061D">
        <w:rPr>
          <w:bCs/>
          <w:iCs/>
          <w:sz w:val="22"/>
          <w:szCs w:val="22"/>
        </w:rPr>
        <w:t xml:space="preserve"> land (lime and rock), and only 4.3 % is used for agricultural purposes. Approximately 70 % of the land consists of steep sloping lands, wetlands, </w:t>
      </w:r>
      <w:proofErr w:type="spellStart"/>
      <w:r w:rsidR="00842E42" w:rsidRPr="0001061D">
        <w:rPr>
          <w:bCs/>
          <w:iCs/>
          <w:sz w:val="22"/>
          <w:szCs w:val="22"/>
        </w:rPr>
        <w:t>fernlands</w:t>
      </w:r>
      <w:proofErr w:type="spellEnd"/>
      <w:r w:rsidR="00842E42" w:rsidRPr="0001061D">
        <w:rPr>
          <w:bCs/>
          <w:iCs/>
          <w:sz w:val="22"/>
          <w:szCs w:val="22"/>
        </w:rPr>
        <w:t xml:space="preserve"> and escarpments.</w:t>
      </w:r>
      <w:r w:rsidR="000C724F">
        <w:rPr>
          <w:bCs/>
          <w:iCs/>
          <w:sz w:val="22"/>
          <w:szCs w:val="22"/>
        </w:rPr>
        <w:t xml:space="preserve"> </w:t>
      </w:r>
      <w:r w:rsidR="000C724F" w:rsidRPr="0001061D">
        <w:rPr>
          <w:sz w:val="22"/>
          <w:szCs w:val="22"/>
        </w:rPr>
        <w:t xml:space="preserve">The Cook Islands’ biodiversity has been considered globally important. The WWF has listed the forests of the Cook Islands (particularly on </w:t>
      </w:r>
      <w:proofErr w:type="spellStart"/>
      <w:r w:rsidR="000C724F" w:rsidRPr="0001061D">
        <w:rPr>
          <w:sz w:val="22"/>
          <w:szCs w:val="22"/>
        </w:rPr>
        <w:t>Rarotonga</w:t>
      </w:r>
      <w:proofErr w:type="spellEnd"/>
      <w:r w:rsidR="000C724F" w:rsidRPr="0001061D">
        <w:rPr>
          <w:sz w:val="22"/>
          <w:szCs w:val="22"/>
        </w:rPr>
        <w:t xml:space="preserve">) as one of its key Global 2000 </w:t>
      </w:r>
      <w:proofErr w:type="spellStart"/>
      <w:r w:rsidR="000C724F" w:rsidRPr="0001061D">
        <w:rPr>
          <w:sz w:val="22"/>
          <w:szCs w:val="22"/>
        </w:rPr>
        <w:t>Ecoregions</w:t>
      </w:r>
      <w:proofErr w:type="spellEnd"/>
      <w:r w:rsidR="000C724F" w:rsidRPr="0001061D">
        <w:rPr>
          <w:sz w:val="22"/>
          <w:szCs w:val="22"/>
        </w:rPr>
        <w:t xml:space="preserve"> and considers them to be in a critical/ endangered state</w:t>
      </w:r>
      <w:r w:rsidR="000C724F" w:rsidRPr="0001061D">
        <w:rPr>
          <w:rStyle w:val="FootnoteReference"/>
          <w:sz w:val="22"/>
          <w:szCs w:val="22"/>
        </w:rPr>
        <w:footnoteReference w:id="5"/>
      </w:r>
      <w:r w:rsidR="008B5439">
        <w:rPr>
          <w:sz w:val="22"/>
          <w:szCs w:val="22"/>
        </w:rPr>
        <w:t xml:space="preserve">. </w:t>
      </w:r>
      <w:r w:rsidR="000C724F" w:rsidRPr="0001061D">
        <w:rPr>
          <w:sz w:val="22"/>
          <w:szCs w:val="22"/>
        </w:rPr>
        <w:t>The Islands also fall under Conservation International’s Polynesia-Micronesia hotspot</w:t>
      </w:r>
      <w:r w:rsidR="000C724F" w:rsidRPr="0001061D">
        <w:rPr>
          <w:rStyle w:val="FootnoteReference"/>
          <w:sz w:val="22"/>
          <w:szCs w:val="22"/>
        </w:rPr>
        <w:footnoteReference w:id="6"/>
      </w:r>
      <w:r w:rsidR="000C724F" w:rsidRPr="0001061D">
        <w:rPr>
          <w:sz w:val="22"/>
          <w:szCs w:val="22"/>
        </w:rPr>
        <w:t>. Birdlife International has listed at least 11 endemic birds on the Islands, and recognises 2 endemic bird areas</w:t>
      </w:r>
      <w:r w:rsidR="000C724F" w:rsidRPr="0001061D">
        <w:rPr>
          <w:rStyle w:val="FootnoteReference"/>
          <w:sz w:val="22"/>
          <w:szCs w:val="22"/>
        </w:rPr>
        <w:footnoteReference w:id="7"/>
      </w:r>
      <w:r w:rsidR="008B5439">
        <w:rPr>
          <w:sz w:val="22"/>
          <w:szCs w:val="22"/>
        </w:rPr>
        <w:t xml:space="preserve">. </w:t>
      </w:r>
      <w:r w:rsidR="000C724F" w:rsidRPr="0001061D">
        <w:rPr>
          <w:sz w:val="22"/>
          <w:szCs w:val="22"/>
        </w:rPr>
        <w:t>Of the 538 known angiosperm species recorded in the southern Cook Islands,</w:t>
      </w:r>
      <w:r w:rsidR="00851E8D">
        <w:rPr>
          <w:sz w:val="22"/>
          <w:szCs w:val="22"/>
        </w:rPr>
        <w:t xml:space="preserve"> approximately 4% are endemic. </w:t>
      </w:r>
      <w:r w:rsidR="000C724F" w:rsidRPr="0001061D">
        <w:rPr>
          <w:sz w:val="22"/>
          <w:szCs w:val="22"/>
        </w:rPr>
        <w:t xml:space="preserve">About 13 endemic species of </w:t>
      </w:r>
      <w:proofErr w:type="spellStart"/>
      <w:r w:rsidR="000C724F" w:rsidRPr="0001061D">
        <w:rPr>
          <w:sz w:val="22"/>
          <w:szCs w:val="22"/>
        </w:rPr>
        <w:t>endodontid</w:t>
      </w:r>
      <w:proofErr w:type="spellEnd"/>
      <w:r w:rsidR="000C724F" w:rsidRPr="0001061D">
        <w:rPr>
          <w:sz w:val="22"/>
          <w:szCs w:val="22"/>
        </w:rPr>
        <w:t xml:space="preserve"> snails and 11 species of </w:t>
      </w:r>
      <w:proofErr w:type="spellStart"/>
      <w:r w:rsidR="000C724F" w:rsidRPr="0001061D">
        <w:rPr>
          <w:sz w:val="22"/>
          <w:szCs w:val="22"/>
        </w:rPr>
        <w:t>charopid</w:t>
      </w:r>
      <w:proofErr w:type="spellEnd"/>
      <w:r w:rsidR="000C724F" w:rsidRPr="0001061D">
        <w:rPr>
          <w:sz w:val="22"/>
          <w:szCs w:val="22"/>
        </w:rPr>
        <w:t xml:space="preserve"> snails have been recorded, with several already extinct, and others facing severe threats, especially on </w:t>
      </w:r>
      <w:proofErr w:type="spellStart"/>
      <w:r w:rsidR="000C724F" w:rsidRPr="0001061D">
        <w:rPr>
          <w:sz w:val="22"/>
          <w:szCs w:val="22"/>
        </w:rPr>
        <w:t>Rarotonga</w:t>
      </w:r>
      <w:proofErr w:type="spellEnd"/>
      <w:r w:rsidR="000C724F" w:rsidRPr="0001061D">
        <w:rPr>
          <w:sz w:val="22"/>
          <w:szCs w:val="22"/>
        </w:rPr>
        <w:t xml:space="preserve">. Eight species of range-restricted birds have been recorded, six of which are endemic. Of the three single island endemics, the </w:t>
      </w:r>
      <w:proofErr w:type="spellStart"/>
      <w:r w:rsidR="000C724F" w:rsidRPr="0001061D">
        <w:rPr>
          <w:sz w:val="22"/>
          <w:szCs w:val="22"/>
        </w:rPr>
        <w:t>Atiu</w:t>
      </w:r>
      <w:proofErr w:type="spellEnd"/>
      <w:r w:rsidR="000C724F" w:rsidRPr="0001061D">
        <w:rPr>
          <w:sz w:val="22"/>
          <w:szCs w:val="22"/>
        </w:rPr>
        <w:t xml:space="preserve"> </w:t>
      </w:r>
      <w:proofErr w:type="spellStart"/>
      <w:r w:rsidR="000C724F" w:rsidRPr="0001061D">
        <w:rPr>
          <w:sz w:val="22"/>
          <w:szCs w:val="22"/>
        </w:rPr>
        <w:t>swiftlet</w:t>
      </w:r>
      <w:proofErr w:type="spellEnd"/>
      <w:r w:rsidR="000C724F" w:rsidRPr="0001061D">
        <w:rPr>
          <w:sz w:val="22"/>
          <w:szCs w:val="22"/>
        </w:rPr>
        <w:t xml:space="preserve">, </w:t>
      </w:r>
      <w:proofErr w:type="spellStart"/>
      <w:r w:rsidR="000C724F" w:rsidRPr="0001061D">
        <w:rPr>
          <w:sz w:val="22"/>
          <w:szCs w:val="22"/>
        </w:rPr>
        <w:t>Rarotonga</w:t>
      </w:r>
      <w:proofErr w:type="spellEnd"/>
      <w:r w:rsidR="000C724F" w:rsidRPr="0001061D">
        <w:rPr>
          <w:sz w:val="22"/>
          <w:szCs w:val="22"/>
        </w:rPr>
        <w:t xml:space="preserve"> starling, and </w:t>
      </w:r>
      <w:proofErr w:type="spellStart"/>
      <w:r w:rsidR="000C724F" w:rsidRPr="0001061D">
        <w:rPr>
          <w:sz w:val="22"/>
          <w:szCs w:val="22"/>
        </w:rPr>
        <w:t>Mangaian</w:t>
      </w:r>
      <w:proofErr w:type="spellEnd"/>
      <w:r w:rsidR="000C724F" w:rsidRPr="0001061D">
        <w:rPr>
          <w:sz w:val="22"/>
          <w:szCs w:val="22"/>
        </w:rPr>
        <w:t xml:space="preserve"> Kingfisher are globally Vulnerable. Key marine ecosystems of the Cook Islands include shallow lagoons with fringing reefs around high islands in the south, and atolls in the northern group with their large,</w:t>
      </w:r>
      <w:r w:rsidR="000C724F" w:rsidRPr="0001061D">
        <w:t xml:space="preserve"> </w:t>
      </w:r>
      <w:r w:rsidR="000C724F" w:rsidRPr="0001061D">
        <w:rPr>
          <w:sz w:val="22"/>
          <w:szCs w:val="22"/>
        </w:rPr>
        <w:t xml:space="preserve">deep lagoons encircled by coral reef. Other notable marine ecosystems include seamounts, sea bed, and the open ocean water columns. The diversity of marine species include at least 7 species of mammals, 570 species of bony fish species, 390 shellfish species, over 100 species of crustaceans, over 116 species of hard corals, and 62 species of seaweed and algae. The marine ecosystems are home to several globally endangered species such as the Giant Wrasse and the Green Turtle. They also host several globally </w:t>
      </w:r>
      <w:proofErr w:type="gramStart"/>
      <w:r w:rsidR="000C724F" w:rsidRPr="0001061D">
        <w:rPr>
          <w:sz w:val="22"/>
          <w:szCs w:val="22"/>
        </w:rPr>
        <w:t>Vulnerable</w:t>
      </w:r>
      <w:proofErr w:type="gramEnd"/>
      <w:r w:rsidR="000C724F" w:rsidRPr="0001061D">
        <w:rPr>
          <w:sz w:val="22"/>
          <w:szCs w:val="22"/>
        </w:rPr>
        <w:t xml:space="preserve"> species including the</w:t>
      </w:r>
      <w:r w:rsidR="000C724F" w:rsidRPr="0001061D">
        <w:rPr>
          <w:bCs/>
          <w:sz w:val="22"/>
          <w:szCs w:val="22"/>
        </w:rPr>
        <w:t xml:space="preserve"> </w:t>
      </w:r>
      <w:proofErr w:type="spellStart"/>
      <w:r w:rsidR="000C724F" w:rsidRPr="0001061D">
        <w:rPr>
          <w:bCs/>
          <w:sz w:val="22"/>
          <w:szCs w:val="22"/>
        </w:rPr>
        <w:t>Bigeye</w:t>
      </w:r>
      <w:proofErr w:type="spellEnd"/>
      <w:r w:rsidR="000C724F" w:rsidRPr="0001061D">
        <w:rPr>
          <w:bCs/>
          <w:sz w:val="22"/>
          <w:szCs w:val="22"/>
        </w:rPr>
        <w:t xml:space="preserve"> Tuna, Black-blotched Stingray, Giant Grouper, Oceanic </w:t>
      </w:r>
      <w:proofErr w:type="spellStart"/>
      <w:r w:rsidR="000C724F" w:rsidRPr="0001061D">
        <w:rPr>
          <w:bCs/>
          <w:sz w:val="22"/>
          <w:szCs w:val="22"/>
        </w:rPr>
        <w:t>Whitetip</w:t>
      </w:r>
      <w:proofErr w:type="spellEnd"/>
      <w:r w:rsidR="000C724F" w:rsidRPr="0001061D">
        <w:rPr>
          <w:bCs/>
          <w:sz w:val="22"/>
          <w:szCs w:val="22"/>
        </w:rPr>
        <w:t xml:space="preserve"> Shark, Blue Marlin, the </w:t>
      </w:r>
      <w:proofErr w:type="spellStart"/>
      <w:r w:rsidR="000C724F" w:rsidRPr="0001061D">
        <w:rPr>
          <w:bCs/>
          <w:sz w:val="22"/>
          <w:szCs w:val="22"/>
        </w:rPr>
        <w:t>Blacksaddled</w:t>
      </w:r>
      <w:proofErr w:type="spellEnd"/>
      <w:r w:rsidR="000C724F" w:rsidRPr="0001061D">
        <w:rPr>
          <w:bCs/>
          <w:sz w:val="22"/>
          <w:szCs w:val="22"/>
        </w:rPr>
        <w:t xml:space="preserve"> Coral Grouper and </w:t>
      </w:r>
      <w:r w:rsidR="000C724F" w:rsidRPr="0001061D">
        <w:rPr>
          <w:sz w:val="22"/>
          <w:szCs w:val="22"/>
        </w:rPr>
        <w:t xml:space="preserve">several coral species. </w:t>
      </w:r>
      <w:r w:rsidR="000C724F" w:rsidRPr="0001061D">
        <w:rPr>
          <w:bCs/>
          <w:sz w:val="22"/>
          <w:szCs w:val="22"/>
        </w:rPr>
        <w:t xml:space="preserve">Several endemic marine species have also been recorded such as Cook Island </w:t>
      </w:r>
      <w:proofErr w:type="spellStart"/>
      <w:r w:rsidR="000C724F" w:rsidRPr="0001061D">
        <w:rPr>
          <w:bCs/>
          <w:sz w:val="22"/>
          <w:szCs w:val="22"/>
        </w:rPr>
        <w:t>Brittlestar</w:t>
      </w:r>
      <w:proofErr w:type="spellEnd"/>
      <w:r w:rsidR="000C724F" w:rsidRPr="0001061D">
        <w:rPr>
          <w:bCs/>
          <w:i/>
          <w:iCs/>
          <w:sz w:val="22"/>
          <w:szCs w:val="22"/>
        </w:rPr>
        <w:t xml:space="preserve"> (</w:t>
      </w:r>
      <w:proofErr w:type="spellStart"/>
      <w:r w:rsidR="000C724F" w:rsidRPr="0001061D">
        <w:rPr>
          <w:bCs/>
          <w:i/>
          <w:iCs/>
          <w:sz w:val="22"/>
          <w:szCs w:val="22"/>
        </w:rPr>
        <w:t>Asterostegus</w:t>
      </w:r>
      <w:proofErr w:type="spellEnd"/>
      <w:r w:rsidR="000C724F" w:rsidRPr="0001061D">
        <w:rPr>
          <w:bCs/>
          <w:i/>
          <w:iCs/>
          <w:sz w:val="22"/>
          <w:szCs w:val="22"/>
        </w:rPr>
        <w:t xml:space="preserve"> </w:t>
      </w:r>
      <w:proofErr w:type="spellStart"/>
      <w:r w:rsidR="000C724F" w:rsidRPr="0001061D">
        <w:rPr>
          <w:bCs/>
          <w:i/>
          <w:iCs/>
          <w:sz w:val="22"/>
          <w:szCs w:val="22"/>
        </w:rPr>
        <w:t>maini</w:t>
      </w:r>
      <w:proofErr w:type="spellEnd"/>
      <w:r w:rsidR="000C724F" w:rsidRPr="0001061D">
        <w:rPr>
          <w:bCs/>
          <w:i/>
          <w:iCs/>
          <w:sz w:val="22"/>
          <w:szCs w:val="22"/>
        </w:rPr>
        <w:t xml:space="preserve">), </w:t>
      </w:r>
      <w:r w:rsidR="000C724F" w:rsidRPr="007F5991">
        <w:rPr>
          <w:bCs/>
          <w:iCs/>
          <w:sz w:val="22"/>
          <w:szCs w:val="22"/>
        </w:rPr>
        <w:t xml:space="preserve">Cook Islands Flashlight Fish </w:t>
      </w:r>
      <w:r w:rsidR="000C724F" w:rsidRPr="0001061D">
        <w:rPr>
          <w:bCs/>
          <w:i/>
          <w:iCs/>
          <w:sz w:val="22"/>
          <w:szCs w:val="22"/>
        </w:rPr>
        <w:t>(</w:t>
      </w:r>
      <w:proofErr w:type="spellStart"/>
      <w:r w:rsidR="000C724F" w:rsidRPr="0001061D">
        <w:rPr>
          <w:bCs/>
          <w:i/>
          <w:iCs/>
          <w:sz w:val="22"/>
          <w:szCs w:val="22"/>
        </w:rPr>
        <w:t>Photoplepharon</w:t>
      </w:r>
      <w:proofErr w:type="spellEnd"/>
      <w:r w:rsidR="000C724F" w:rsidRPr="0001061D">
        <w:rPr>
          <w:bCs/>
          <w:i/>
          <w:iCs/>
          <w:sz w:val="22"/>
          <w:szCs w:val="22"/>
        </w:rPr>
        <w:t xml:space="preserve"> </w:t>
      </w:r>
      <w:proofErr w:type="spellStart"/>
      <w:r w:rsidR="000C724F" w:rsidRPr="0001061D">
        <w:rPr>
          <w:bCs/>
          <w:i/>
          <w:iCs/>
          <w:sz w:val="22"/>
          <w:szCs w:val="22"/>
        </w:rPr>
        <w:t>rosenblatti</w:t>
      </w:r>
      <w:proofErr w:type="spellEnd"/>
      <w:r w:rsidR="000C724F" w:rsidRPr="0001061D">
        <w:rPr>
          <w:bCs/>
          <w:i/>
          <w:iCs/>
          <w:sz w:val="22"/>
          <w:szCs w:val="22"/>
        </w:rPr>
        <w:t xml:space="preserve">), </w:t>
      </w:r>
      <w:r w:rsidR="000C724F" w:rsidRPr="007F5991">
        <w:rPr>
          <w:bCs/>
          <w:iCs/>
          <w:sz w:val="22"/>
          <w:szCs w:val="22"/>
        </w:rPr>
        <w:t xml:space="preserve">and Orange Spotted </w:t>
      </w:r>
      <w:proofErr w:type="spellStart"/>
      <w:r w:rsidR="000C724F" w:rsidRPr="007F5991">
        <w:rPr>
          <w:bCs/>
          <w:iCs/>
          <w:sz w:val="22"/>
          <w:szCs w:val="22"/>
        </w:rPr>
        <w:t>Soapfish</w:t>
      </w:r>
      <w:proofErr w:type="spellEnd"/>
      <w:r w:rsidR="000C724F" w:rsidRPr="0001061D">
        <w:rPr>
          <w:bCs/>
          <w:i/>
          <w:iCs/>
          <w:sz w:val="22"/>
          <w:szCs w:val="22"/>
        </w:rPr>
        <w:t xml:space="preserve"> (</w:t>
      </w:r>
      <w:proofErr w:type="spellStart"/>
      <w:r w:rsidR="000C724F" w:rsidRPr="0001061D">
        <w:rPr>
          <w:bCs/>
          <w:i/>
          <w:iCs/>
          <w:sz w:val="22"/>
          <w:szCs w:val="22"/>
        </w:rPr>
        <w:t>Belonoperca</w:t>
      </w:r>
      <w:proofErr w:type="spellEnd"/>
      <w:r w:rsidR="000C724F" w:rsidRPr="0001061D">
        <w:rPr>
          <w:bCs/>
          <w:i/>
          <w:iCs/>
          <w:sz w:val="22"/>
          <w:szCs w:val="22"/>
        </w:rPr>
        <w:t xml:space="preserve"> </w:t>
      </w:r>
      <w:proofErr w:type="spellStart"/>
      <w:r w:rsidR="000C724F" w:rsidRPr="0001061D">
        <w:rPr>
          <w:bCs/>
          <w:i/>
          <w:iCs/>
          <w:sz w:val="22"/>
          <w:szCs w:val="22"/>
        </w:rPr>
        <w:t>pylei</w:t>
      </w:r>
      <w:proofErr w:type="spellEnd"/>
      <w:r w:rsidR="000C724F" w:rsidRPr="0001061D">
        <w:rPr>
          <w:bCs/>
          <w:i/>
          <w:iCs/>
          <w:sz w:val="22"/>
          <w:szCs w:val="22"/>
        </w:rPr>
        <w:t>).</w:t>
      </w:r>
      <w:r w:rsidR="000C724F" w:rsidRPr="0001061D">
        <w:rPr>
          <w:b/>
          <w:bCs/>
          <w:i/>
          <w:iCs/>
          <w:sz w:val="22"/>
          <w:szCs w:val="22"/>
        </w:rPr>
        <w:t xml:space="preserve"> </w:t>
      </w:r>
    </w:p>
    <w:p w:rsidR="003921FE" w:rsidRDefault="001568DB" w:rsidP="00606431">
      <w:pPr>
        <w:pStyle w:val="Footer"/>
        <w:spacing w:after="80"/>
        <w:jc w:val="both"/>
        <w:rPr>
          <w:sz w:val="22"/>
          <w:szCs w:val="22"/>
        </w:rPr>
      </w:pPr>
      <w:r w:rsidRPr="0001061D">
        <w:rPr>
          <w:sz w:val="22"/>
          <w:szCs w:val="22"/>
        </w:rPr>
        <w:t>T</w:t>
      </w:r>
      <w:r w:rsidRPr="0001061D">
        <w:rPr>
          <w:sz w:val="22"/>
        </w:rPr>
        <w:t>he Cook Islanders are mostly of Maori descent. Preliminary results from the 2011 census suggest that the total population of the country is 17,791</w:t>
      </w:r>
      <w:r w:rsidRPr="0001061D">
        <w:rPr>
          <w:rStyle w:val="FootnoteReference"/>
          <w:sz w:val="22"/>
        </w:rPr>
        <w:footnoteReference w:id="8"/>
      </w:r>
      <w:r w:rsidRPr="0001061D">
        <w:rPr>
          <w:rStyle w:val="FootnoteReference"/>
          <w:sz w:val="22"/>
        </w:rPr>
        <w:t xml:space="preserve">, </w:t>
      </w:r>
      <w:r w:rsidRPr="0001061D">
        <w:rPr>
          <w:sz w:val="22"/>
        </w:rPr>
        <w:t xml:space="preserve">of which 13,097 live on </w:t>
      </w:r>
      <w:r w:rsidR="00842E42" w:rsidRPr="0001061D">
        <w:rPr>
          <w:sz w:val="22"/>
        </w:rPr>
        <w:t xml:space="preserve">the island of </w:t>
      </w:r>
      <w:proofErr w:type="spellStart"/>
      <w:r w:rsidR="00533196">
        <w:rPr>
          <w:sz w:val="22"/>
        </w:rPr>
        <w:t>Rarotonga</w:t>
      </w:r>
      <w:proofErr w:type="spellEnd"/>
      <w:r w:rsidR="00533196">
        <w:rPr>
          <w:sz w:val="22"/>
        </w:rPr>
        <w:t>.</w:t>
      </w:r>
      <w:r w:rsidRPr="0001061D">
        <w:rPr>
          <w:sz w:val="22"/>
        </w:rPr>
        <w:t xml:space="preserve"> </w:t>
      </w:r>
      <w:r w:rsidRPr="0001061D">
        <w:rPr>
          <w:bCs/>
          <w:iCs/>
          <w:sz w:val="22"/>
          <w:szCs w:val="22"/>
        </w:rPr>
        <w:t xml:space="preserve">The level of subsistence living in the Cook Islands (particularly in the outer islands) is also high, with an estimated 64% of all households engaged in subsistence farming and fishing activities. Most land in the Cook Islands is held under customary tenure. </w:t>
      </w:r>
      <w:r w:rsidR="008541D5">
        <w:rPr>
          <w:sz w:val="22"/>
          <w:szCs w:val="22"/>
        </w:rPr>
        <w:t xml:space="preserve">Cook Islanders have for centuries been using natural plant-based remedies to ‘doctor’ common ailments. The modern day health care system in the Cook Islands is a combination of neo-traditional ways and Western </w:t>
      </w:r>
      <w:r w:rsidR="00F2209B">
        <w:rPr>
          <w:sz w:val="22"/>
          <w:szCs w:val="22"/>
        </w:rPr>
        <w:t xml:space="preserve">medicine. The use of traditional medicine is still widely used, with traditional healers using a variety of herbal medicines and traditional practices to treat people. </w:t>
      </w:r>
    </w:p>
    <w:p w:rsidR="00C61F7D" w:rsidRDefault="00C61F7D" w:rsidP="00606431">
      <w:pPr>
        <w:pStyle w:val="Footer"/>
        <w:spacing w:after="80"/>
        <w:jc w:val="both"/>
        <w:rPr>
          <w:sz w:val="22"/>
          <w:szCs w:val="22"/>
        </w:rPr>
      </w:pPr>
    </w:p>
    <w:p w:rsidR="00C61F7D" w:rsidRPr="0001061D" w:rsidRDefault="00C61F7D" w:rsidP="00606431">
      <w:pPr>
        <w:pStyle w:val="Footer"/>
        <w:spacing w:after="80"/>
        <w:jc w:val="both"/>
        <w:rPr>
          <w:sz w:val="22"/>
          <w:szCs w:val="22"/>
        </w:rPr>
      </w:pPr>
      <w:r w:rsidRPr="00C61F7D">
        <w:rPr>
          <w:b/>
          <w:sz w:val="22"/>
          <w:szCs w:val="22"/>
        </w:rPr>
        <w:t>Problem:</w:t>
      </w:r>
      <w:r>
        <w:rPr>
          <w:sz w:val="22"/>
          <w:szCs w:val="22"/>
        </w:rPr>
        <w:t xml:space="preserve"> Several threats to Cook Island’s biodiversity significance arise from the fact that they are not considered economically important by local communities and development sectors, and economic actions that degrade or cause a loss a loss of biodiversity are more profitable in the short term. Overharvesting of wild resources is a serious concern, in particular of coastal and marine species that are important to the food security of local communities living on the Cook Islands. For instance, P</w:t>
      </w:r>
      <w:r w:rsidRPr="0001061D">
        <w:rPr>
          <w:sz w:val="22"/>
          <w:szCs w:val="22"/>
        </w:rPr>
        <w:t>arrotfish, Giant clams (</w:t>
      </w:r>
      <w:proofErr w:type="spellStart"/>
      <w:r w:rsidRPr="0001061D">
        <w:rPr>
          <w:i/>
          <w:iCs/>
          <w:sz w:val="22"/>
          <w:szCs w:val="22"/>
        </w:rPr>
        <w:t>Paua</w:t>
      </w:r>
      <w:proofErr w:type="spellEnd"/>
      <w:r w:rsidRPr="0001061D">
        <w:rPr>
          <w:i/>
          <w:iCs/>
          <w:sz w:val="22"/>
          <w:szCs w:val="22"/>
        </w:rPr>
        <w:t xml:space="preserve">) </w:t>
      </w:r>
      <w:r w:rsidRPr="0001061D">
        <w:rPr>
          <w:sz w:val="22"/>
          <w:szCs w:val="22"/>
        </w:rPr>
        <w:t>and Coconut crabs (</w:t>
      </w:r>
      <w:proofErr w:type="spellStart"/>
      <w:r w:rsidRPr="0001061D">
        <w:rPr>
          <w:i/>
          <w:iCs/>
          <w:sz w:val="22"/>
          <w:szCs w:val="22"/>
        </w:rPr>
        <w:t>Kaveu</w:t>
      </w:r>
      <w:proofErr w:type="spellEnd"/>
      <w:r w:rsidRPr="0001061D">
        <w:rPr>
          <w:i/>
          <w:iCs/>
          <w:sz w:val="22"/>
          <w:szCs w:val="22"/>
        </w:rPr>
        <w:t xml:space="preserve">) </w:t>
      </w:r>
      <w:r>
        <w:rPr>
          <w:iCs/>
          <w:sz w:val="22"/>
          <w:szCs w:val="22"/>
        </w:rPr>
        <w:t xml:space="preserve">are </w:t>
      </w:r>
      <w:r w:rsidR="006A7B99">
        <w:rPr>
          <w:iCs/>
          <w:sz w:val="22"/>
          <w:szCs w:val="22"/>
        </w:rPr>
        <w:t>declining</w:t>
      </w:r>
      <w:r>
        <w:rPr>
          <w:iCs/>
          <w:sz w:val="22"/>
          <w:szCs w:val="22"/>
        </w:rPr>
        <w:t xml:space="preserve"> in numbers</w:t>
      </w:r>
      <w:r w:rsidRPr="0001061D">
        <w:rPr>
          <w:sz w:val="22"/>
          <w:szCs w:val="22"/>
        </w:rPr>
        <w:t>. Excessive harvesting of sooty terns</w:t>
      </w:r>
      <w:r w:rsidR="006A7B99">
        <w:rPr>
          <w:sz w:val="22"/>
          <w:szCs w:val="22"/>
        </w:rPr>
        <w:t xml:space="preserve"> (</w:t>
      </w:r>
      <w:r w:rsidR="006A7B99" w:rsidRPr="006A7B99">
        <w:rPr>
          <w:i/>
          <w:sz w:val="22"/>
          <w:szCs w:val="22"/>
        </w:rPr>
        <w:t xml:space="preserve">Sterna </w:t>
      </w:r>
      <w:proofErr w:type="spellStart"/>
      <w:r w:rsidR="006A7B99" w:rsidRPr="006A7B99">
        <w:rPr>
          <w:i/>
          <w:sz w:val="22"/>
          <w:szCs w:val="22"/>
        </w:rPr>
        <w:t>fuscata</w:t>
      </w:r>
      <w:proofErr w:type="spellEnd"/>
      <w:r w:rsidR="006A7B99">
        <w:rPr>
          <w:sz w:val="22"/>
          <w:szCs w:val="22"/>
        </w:rPr>
        <w:t>)</w:t>
      </w:r>
      <w:r w:rsidRPr="0001061D">
        <w:rPr>
          <w:sz w:val="22"/>
          <w:szCs w:val="22"/>
        </w:rPr>
        <w:t xml:space="preserve"> on </w:t>
      </w:r>
      <w:proofErr w:type="spellStart"/>
      <w:r w:rsidRPr="0001061D">
        <w:rPr>
          <w:sz w:val="22"/>
          <w:szCs w:val="22"/>
        </w:rPr>
        <w:t>Penrhyn</w:t>
      </w:r>
      <w:proofErr w:type="spellEnd"/>
      <w:r w:rsidRPr="0001061D">
        <w:rPr>
          <w:sz w:val="22"/>
          <w:szCs w:val="22"/>
        </w:rPr>
        <w:t xml:space="preserve"> (the only island other than </w:t>
      </w:r>
      <w:proofErr w:type="spellStart"/>
      <w:r w:rsidRPr="0001061D">
        <w:rPr>
          <w:sz w:val="22"/>
          <w:szCs w:val="22"/>
        </w:rPr>
        <w:t>Suwarrow</w:t>
      </w:r>
      <w:proofErr w:type="spellEnd"/>
      <w:r w:rsidRPr="0001061D">
        <w:rPr>
          <w:sz w:val="22"/>
          <w:szCs w:val="22"/>
        </w:rPr>
        <w:t xml:space="preserve"> in the Cook</w:t>
      </w:r>
      <w:r>
        <w:rPr>
          <w:sz w:val="22"/>
          <w:szCs w:val="22"/>
        </w:rPr>
        <w:t xml:space="preserve"> Island</w:t>
      </w:r>
      <w:r w:rsidRPr="0001061D">
        <w:rPr>
          <w:sz w:val="22"/>
          <w:szCs w:val="22"/>
        </w:rPr>
        <w:t xml:space="preserve">s that harbours these birds) has reduced the population there. There are also some concerns that some international fishing </w:t>
      </w:r>
      <w:r w:rsidRPr="0001061D">
        <w:rPr>
          <w:sz w:val="22"/>
          <w:szCs w:val="22"/>
        </w:rPr>
        <w:lastRenderedPageBreak/>
        <w:t>vessels may also be breaching their contract with the Government and harvesting products that they are not permitted to and/or fishing in areas that are prohibited under their license conditions, despite having monitors on board the ships.</w:t>
      </w:r>
      <w:r w:rsidR="006A7B99">
        <w:rPr>
          <w:sz w:val="22"/>
          <w:szCs w:val="22"/>
        </w:rPr>
        <w:t xml:space="preserve"> Further, there has been a progressive conversion of lowland forests (especially on </w:t>
      </w:r>
      <w:proofErr w:type="spellStart"/>
      <w:r w:rsidR="006A7B99">
        <w:rPr>
          <w:sz w:val="22"/>
          <w:szCs w:val="22"/>
        </w:rPr>
        <w:t>Rarotonga</w:t>
      </w:r>
      <w:proofErr w:type="spellEnd"/>
      <w:r w:rsidR="006A7B99">
        <w:rPr>
          <w:sz w:val="22"/>
          <w:szCs w:val="22"/>
        </w:rPr>
        <w:t xml:space="preserve">) to agriculture, plantations, infrastructure and settlements. Consequently, little native vegetation remains in the more accessible lowland zones. </w:t>
      </w:r>
      <w:r w:rsidR="006A7B99" w:rsidRPr="0001061D">
        <w:rPr>
          <w:sz w:val="22"/>
          <w:szCs w:val="22"/>
        </w:rPr>
        <w:t>The conversion of coastal areas for tourism related infrastructure also means that only remnants of the natural coastal forests and salt marshes remain. Consequently, the availability of habitats of the Beach Morning Glory (</w:t>
      </w:r>
      <w:r w:rsidR="006A7B99" w:rsidRPr="0001061D">
        <w:rPr>
          <w:i/>
          <w:iCs/>
          <w:sz w:val="22"/>
          <w:szCs w:val="22"/>
        </w:rPr>
        <w:t xml:space="preserve">Ipomoea </w:t>
      </w:r>
      <w:proofErr w:type="spellStart"/>
      <w:r w:rsidR="006A7B99" w:rsidRPr="0001061D">
        <w:rPr>
          <w:i/>
          <w:iCs/>
          <w:sz w:val="22"/>
          <w:szCs w:val="22"/>
        </w:rPr>
        <w:t>pes-caprae</w:t>
      </w:r>
      <w:proofErr w:type="spellEnd"/>
      <w:r w:rsidR="006A7B99" w:rsidRPr="0001061D">
        <w:rPr>
          <w:sz w:val="22"/>
          <w:szCs w:val="22"/>
        </w:rPr>
        <w:t>) and Portia Tree (</w:t>
      </w:r>
      <w:proofErr w:type="spellStart"/>
      <w:r w:rsidR="006A7B99" w:rsidRPr="0001061D">
        <w:rPr>
          <w:i/>
          <w:iCs/>
          <w:sz w:val="22"/>
          <w:szCs w:val="22"/>
        </w:rPr>
        <w:t>Thespesia</w:t>
      </w:r>
      <w:proofErr w:type="spellEnd"/>
      <w:r w:rsidR="006A7B99" w:rsidRPr="0001061D">
        <w:rPr>
          <w:i/>
          <w:iCs/>
          <w:sz w:val="22"/>
          <w:szCs w:val="22"/>
        </w:rPr>
        <w:t xml:space="preserve"> </w:t>
      </w:r>
      <w:proofErr w:type="spellStart"/>
      <w:r w:rsidR="006A7B99" w:rsidRPr="0001061D">
        <w:rPr>
          <w:i/>
          <w:iCs/>
          <w:sz w:val="22"/>
          <w:szCs w:val="22"/>
        </w:rPr>
        <w:t>populnea</w:t>
      </w:r>
      <w:proofErr w:type="spellEnd"/>
      <w:r w:rsidR="006A7B99" w:rsidRPr="0001061D">
        <w:rPr>
          <w:sz w:val="22"/>
          <w:szCs w:val="22"/>
        </w:rPr>
        <w:t>) has significantly declined.</w:t>
      </w:r>
      <w:r w:rsidR="006A7B99" w:rsidRPr="006A7B99">
        <w:rPr>
          <w:sz w:val="22"/>
          <w:szCs w:val="22"/>
        </w:rPr>
        <w:t xml:space="preserve"> </w:t>
      </w:r>
      <w:r w:rsidR="006A7B99" w:rsidRPr="0001061D">
        <w:rPr>
          <w:sz w:val="22"/>
          <w:szCs w:val="22"/>
        </w:rPr>
        <w:t xml:space="preserve">In some instances, tourism infrastructure may also impact the nesting sites of sea turtles. There is some on-going conversion of natural habitats in </w:t>
      </w:r>
      <w:proofErr w:type="spellStart"/>
      <w:r w:rsidR="006A7B99" w:rsidRPr="0001061D">
        <w:rPr>
          <w:sz w:val="22"/>
          <w:szCs w:val="22"/>
        </w:rPr>
        <w:t>Rarotonga</w:t>
      </w:r>
      <w:proofErr w:type="spellEnd"/>
      <w:r w:rsidR="006A7B99" w:rsidRPr="0001061D">
        <w:rPr>
          <w:sz w:val="22"/>
          <w:szCs w:val="22"/>
        </w:rPr>
        <w:t xml:space="preserve"> for house construction, as people move inland and up the hills that house globally significant cloud forest ecosystems.</w:t>
      </w:r>
      <w:r w:rsidR="003C50FA">
        <w:rPr>
          <w:sz w:val="22"/>
          <w:szCs w:val="22"/>
        </w:rPr>
        <w:t xml:space="preserve"> Trade and planned/accidental import of organisms have also caused a spread of </w:t>
      </w:r>
      <w:r w:rsidR="00CD32FE">
        <w:rPr>
          <w:sz w:val="22"/>
          <w:szCs w:val="22"/>
        </w:rPr>
        <w:t xml:space="preserve">alien </w:t>
      </w:r>
      <w:r w:rsidR="003C50FA">
        <w:rPr>
          <w:sz w:val="22"/>
          <w:szCs w:val="22"/>
        </w:rPr>
        <w:t>invasive species</w:t>
      </w:r>
      <w:r w:rsidR="00221E4A">
        <w:rPr>
          <w:sz w:val="22"/>
          <w:szCs w:val="22"/>
        </w:rPr>
        <w:t xml:space="preserve"> (AIS) – there are at least 88 known AIS in Cook Islands including 64 species of plants, 1 bird specie</w:t>
      </w:r>
      <w:r w:rsidR="00EA74F3">
        <w:rPr>
          <w:sz w:val="22"/>
          <w:szCs w:val="22"/>
        </w:rPr>
        <w:t>s</w:t>
      </w:r>
      <w:r w:rsidR="00221E4A">
        <w:rPr>
          <w:sz w:val="22"/>
          <w:szCs w:val="22"/>
        </w:rPr>
        <w:t>, 9 insect species, 3 fish species, and 9 mammal species (Dog, (</w:t>
      </w:r>
      <w:proofErr w:type="spellStart"/>
      <w:r w:rsidR="00221E4A" w:rsidRPr="00221E4A">
        <w:rPr>
          <w:i/>
          <w:sz w:val="22"/>
          <w:szCs w:val="22"/>
        </w:rPr>
        <w:t>Canis</w:t>
      </w:r>
      <w:proofErr w:type="spellEnd"/>
      <w:r w:rsidR="00221E4A" w:rsidRPr="00221E4A">
        <w:rPr>
          <w:i/>
          <w:sz w:val="22"/>
          <w:szCs w:val="22"/>
        </w:rPr>
        <w:t xml:space="preserve"> lupus</w:t>
      </w:r>
      <w:r w:rsidR="00221E4A">
        <w:rPr>
          <w:sz w:val="22"/>
          <w:szCs w:val="22"/>
        </w:rPr>
        <w:t>), Goat (</w:t>
      </w:r>
      <w:r w:rsidR="00221E4A" w:rsidRPr="00221E4A">
        <w:rPr>
          <w:i/>
          <w:sz w:val="22"/>
          <w:szCs w:val="22"/>
        </w:rPr>
        <w:t xml:space="preserve">Capra </w:t>
      </w:r>
      <w:proofErr w:type="spellStart"/>
      <w:r w:rsidR="00221E4A" w:rsidRPr="00221E4A">
        <w:rPr>
          <w:i/>
          <w:sz w:val="22"/>
          <w:szCs w:val="22"/>
        </w:rPr>
        <w:t>hircus</w:t>
      </w:r>
      <w:proofErr w:type="spellEnd"/>
      <w:r w:rsidR="00221E4A">
        <w:rPr>
          <w:sz w:val="22"/>
          <w:szCs w:val="22"/>
        </w:rPr>
        <w:t>), Cat (</w:t>
      </w:r>
      <w:proofErr w:type="spellStart"/>
      <w:r w:rsidR="00221E4A" w:rsidRPr="00221E4A">
        <w:rPr>
          <w:i/>
          <w:sz w:val="22"/>
          <w:szCs w:val="22"/>
        </w:rPr>
        <w:t>Felis</w:t>
      </w:r>
      <w:proofErr w:type="spellEnd"/>
      <w:r w:rsidR="00221E4A" w:rsidRPr="00221E4A">
        <w:rPr>
          <w:i/>
          <w:sz w:val="22"/>
          <w:szCs w:val="22"/>
        </w:rPr>
        <w:t xml:space="preserve"> </w:t>
      </w:r>
      <w:proofErr w:type="spellStart"/>
      <w:r w:rsidR="00221E4A" w:rsidRPr="00221E4A">
        <w:rPr>
          <w:i/>
          <w:sz w:val="22"/>
          <w:szCs w:val="22"/>
        </w:rPr>
        <w:t>catus</w:t>
      </w:r>
      <w:proofErr w:type="spellEnd"/>
      <w:r w:rsidR="00221E4A">
        <w:rPr>
          <w:sz w:val="22"/>
          <w:szCs w:val="22"/>
        </w:rPr>
        <w:t xml:space="preserve">), </w:t>
      </w:r>
      <w:proofErr w:type="spellStart"/>
      <w:r w:rsidR="00221E4A" w:rsidRPr="00221E4A">
        <w:rPr>
          <w:i/>
          <w:sz w:val="22"/>
          <w:szCs w:val="22"/>
        </w:rPr>
        <w:t>Macaca</w:t>
      </w:r>
      <w:proofErr w:type="spellEnd"/>
      <w:r w:rsidR="00221E4A" w:rsidRPr="00221E4A">
        <w:rPr>
          <w:i/>
          <w:sz w:val="22"/>
          <w:szCs w:val="22"/>
        </w:rPr>
        <w:t xml:space="preserve"> </w:t>
      </w:r>
      <w:proofErr w:type="spellStart"/>
      <w:r w:rsidR="00221E4A" w:rsidRPr="00221E4A">
        <w:rPr>
          <w:i/>
          <w:sz w:val="22"/>
          <w:szCs w:val="22"/>
        </w:rPr>
        <w:t>mulatta</w:t>
      </w:r>
      <w:proofErr w:type="spellEnd"/>
      <w:r w:rsidR="00221E4A">
        <w:rPr>
          <w:sz w:val="22"/>
          <w:szCs w:val="22"/>
        </w:rPr>
        <w:t>, House Mouse (</w:t>
      </w:r>
      <w:proofErr w:type="spellStart"/>
      <w:r w:rsidR="00221E4A" w:rsidRPr="00221E4A">
        <w:rPr>
          <w:i/>
          <w:sz w:val="22"/>
          <w:szCs w:val="22"/>
        </w:rPr>
        <w:t>Mus</w:t>
      </w:r>
      <w:proofErr w:type="spellEnd"/>
      <w:r w:rsidR="00221E4A" w:rsidRPr="00221E4A">
        <w:rPr>
          <w:i/>
          <w:sz w:val="22"/>
          <w:szCs w:val="22"/>
        </w:rPr>
        <w:t xml:space="preserve"> </w:t>
      </w:r>
      <w:proofErr w:type="spellStart"/>
      <w:r w:rsidR="00221E4A" w:rsidRPr="00221E4A">
        <w:rPr>
          <w:i/>
          <w:sz w:val="22"/>
          <w:szCs w:val="22"/>
        </w:rPr>
        <w:t>musculus</w:t>
      </w:r>
      <w:proofErr w:type="spellEnd"/>
      <w:r w:rsidR="00221E4A">
        <w:rPr>
          <w:sz w:val="22"/>
          <w:szCs w:val="22"/>
        </w:rPr>
        <w:t xml:space="preserve">), </w:t>
      </w:r>
      <w:proofErr w:type="spellStart"/>
      <w:r w:rsidR="00221E4A" w:rsidRPr="00221E4A">
        <w:rPr>
          <w:i/>
          <w:sz w:val="22"/>
          <w:szCs w:val="22"/>
        </w:rPr>
        <w:t>Rattus</w:t>
      </w:r>
      <w:proofErr w:type="spellEnd"/>
      <w:r w:rsidR="00221E4A" w:rsidRPr="00221E4A">
        <w:rPr>
          <w:i/>
          <w:sz w:val="22"/>
          <w:szCs w:val="22"/>
        </w:rPr>
        <w:t xml:space="preserve"> </w:t>
      </w:r>
      <w:proofErr w:type="spellStart"/>
      <w:r w:rsidR="00221E4A" w:rsidRPr="00221E4A">
        <w:rPr>
          <w:i/>
          <w:sz w:val="22"/>
          <w:szCs w:val="22"/>
        </w:rPr>
        <w:t>exulans</w:t>
      </w:r>
      <w:proofErr w:type="spellEnd"/>
      <w:r w:rsidR="00221E4A">
        <w:rPr>
          <w:sz w:val="22"/>
          <w:szCs w:val="22"/>
        </w:rPr>
        <w:t xml:space="preserve">, </w:t>
      </w:r>
      <w:proofErr w:type="spellStart"/>
      <w:r w:rsidR="00221E4A" w:rsidRPr="00221E4A">
        <w:rPr>
          <w:i/>
          <w:sz w:val="22"/>
          <w:szCs w:val="22"/>
        </w:rPr>
        <w:t>Rattus</w:t>
      </w:r>
      <w:proofErr w:type="spellEnd"/>
      <w:r w:rsidR="00221E4A" w:rsidRPr="00221E4A">
        <w:rPr>
          <w:i/>
          <w:sz w:val="22"/>
          <w:szCs w:val="22"/>
        </w:rPr>
        <w:t xml:space="preserve"> </w:t>
      </w:r>
      <w:proofErr w:type="spellStart"/>
      <w:r w:rsidR="00221E4A" w:rsidRPr="00221E4A">
        <w:rPr>
          <w:i/>
          <w:sz w:val="22"/>
          <w:szCs w:val="22"/>
        </w:rPr>
        <w:t>norvegicus</w:t>
      </w:r>
      <w:proofErr w:type="spellEnd"/>
      <w:r w:rsidR="00221E4A">
        <w:rPr>
          <w:sz w:val="22"/>
          <w:szCs w:val="22"/>
        </w:rPr>
        <w:t xml:space="preserve">, </w:t>
      </w:r>
      <w:proofErr w:type="spellStart"/>
      <w:r w:rsidR="00221E4A" w:rsidRPr="00221E4A">
        <w:rPr>
          <w:i/>
          <w:sz w:val="22"/>
          <w:szCs w:val="22"/>
        </w:rPr>
        <w:t>Rattus</w:t>
      </w:r>
      <w:proofErr w:type="spellEnd"/>
      <w:r w:rsidR="00221E4A" w:rsidRPr="00221E4A">
        <w:rPr>
          <w:i/>
          <w:sz w:val="22"/>
          <w:szCs w:val="22"/>
        </w:rPr>
        <w:t xml:space="preserve"> </w:t>
      </w:r>
      <w:proofErr w:type="spellStart"/>
      <w:r w:rsidR="00221E4A" w:rsidRPr="00221E4A">
        <w:rPr>
          <w:i/>
          <w:sz w:val="22"/>
          <w:szCs w:val="22"/>
        </w:rPr>
        <w:t>rattus</w:t>
      </w:r>
      <w:proofErr w:type="spellEnd"/>
      <w:r w:rsidR="00221E4A">
        <w:rPr>
          <w:sz w:val="22"/>
          <w:szCs w:val="22"/>
        </w:rPr>
        <w:t xml:space="preserve"> and the Feral Pig (</w:t>
      </w:r>
      <w:r w:rsidR="00221E4A" w:rsidRPr="00221E4A">
        <w:rPr>
          <w:i/>
          <w:sz w:val="22"/>
          <w:szCs w:val="22"/>
        </w:rPr>
        <w:t xml:space="preserve">Sus </w:t>
      </w:r>
      <w:proofErr w:type="spellStart"/>
      <w:r w:rsidR="00221E4A" w:rsidRPr="00221E4A">
        <w:rPr>
          <w:i/>
          <w:sz w:val="22"/>
          <w:szCs w:val="22"/>
        </w:rPr>
        <w:t>serofa</w:t>
      </w:r>
      <w:proofErr w:type="spellEnd"/>
      <w:r w:rsidR="00221E4A">
        <w:rPr>
          <w:sz w:val="22"/>
          <w:szCs w:val="22"/>
        </w:rPr>
        <w:t>))</w:t>
      </w:r>
      <w:r w:rsidR="008961F8">
        <w:rPr>
          <w:rStyle w:val="FootnoteReference"/>
          <w:sz w:val="22"/>
          <w:szCs w:val="22"/>
        </w:rPr>
        <w:footnoteReference w:id="9"/>
      </w:r>
      <w:r w:rsidR="00221E4A">
        <w:rPr>
          <w:sz w:val="22"/>
          <w:szCs w:val="22"/>
        </w:rPr>
        <w:t xml:space="preserve">. </w:t>
      </w:r>
      <w:r w:rsidR="008B5439">
        <w:rPr>
          <w:sz w:val="22"/>
          <w:szCs w:val="22"/>
        </w:rPr>
        <w:t>Root causes include disproportionate distribution of income, uneven employment opportunities across islands and amongst males and females, as well as a fairly high employment rate (13% of the total labour force versus an average of 9.2% globally (2012 statistics)</w:t>
      </w:r>
      <w:r w:rsidR="00326F5D">
        <w:rPr>
          <w:sz w:val="22"/>
          <w:szCs w:val="22"/>
        </w:rPr>
        <w:t>)</w:t>
      </w:r>
      <w:r w:rsidR="008B5439">
        <w:rPr>
          <w:sz w:val="22"/>
          <w:szCs w:val="22"/>
        </w:rPr>
        <w:t xml:space="preserve">. The unemployment rate in </w:t>
      </w:r>
      <w:proofErr w:type="spellStart"/>
      <w:r w:rsidR="008B5439">
        <w:rPr>
          <w:sz w:val="22"/>
          <w:szCs w:val="22"/>
        </w:rPr>
        <w:t>Rarotonga</w:t>
      </w:r>
      <w:proofErr w:type="spellEnd"/>
      <w:r w:rsidR="008B5439">
        <w:rPr>
          <w:sz w:val="22"/>
          <w:szCs w:val="22"/>
        </w:rPr>
        <w:t xml:space="preserve"> was much lower at </w:t>
      </w:r>
      <w:r w:rsidR="00B44F9F">
        <w:rPr>
          <w:sz w:val="22"/>
          <w:szCs w:val="22"/>
        </w:rPr>
        <w:t xml:space="preserve">7%, compared to 27% and 35% in </w:t>
      </w:r>
      <w:r w:rsidR="008B5439">
        <w:rPr>
          <w:sz w:val="22"/>
          <w:szCs w:val="22"/>
        </w:rPr>
        <w:t xml:space="preserve">the southern and northern groups of island. Increasing affluence and modernizing lifestyle of the Cook Islanders has also increased consumption and use of natural resources. </w:t>
      </w:r>
    </w:p>
    <w:p w:rsidR="00F4449C" w:rsidRDefault="00BB316E" w:rsidP="00606431">
      <w:pPr>
        <w:pStyle w:val="Footer"/>
        <w:spacing w:after="80"/>
        <w:jc w:val="both"/>
        <w:rPr>
          <w:sz w:val="22"/>
          <w:szCs w:val="22"/>
        </w:rPr>
      </w:pPr>
      <w:r>
        <w:rPr>
          <w:sz w:val="22"/>
          <w:szCs w:val="22"/>
        </w:rPr>
        <w:t>T</w:t>
      </w:r>
      <w:r w:rsidR="00B44F9F">
        <w:rPr>
          <w:sz w:val="22"/>
          <w:szCs w:val="22"/>
        </w:rPr>
        <w:t>he Prime Minister of t</w:t>
      </w:r>
      <w:r>
        <w:rPr>
          <w:sz w:val="22"/>
          <w:szCs w:val="22"/>
        </w:rPr>
        <w:t>he Cook Island</w:t>
      </w:r>
      <w:r w:rsidR="00CD32FE">
        <w:rPr>
          <w:sz w:val="22"/>
          <w:szCs w:val="22"/>
        </w:rPr>
        <w:t>s</w:t>
      </w:r>
      <w:r>
        <w:rPr>
          <w:sz w:val="22"/>
          <w:szCs w:val="22"/>
        </w:rPr>
        <w:t xml:space="preserve">, Hon. Henry </w:t>
      </w:r>
      <w:proofErr w:type="spellStart"/>
      <w:r>
        <w:rPr>
          <w:sz w:val="22"/>
          <w:szCs w:val="22"/>
        </w:rPr>
        <w:t>Puna</w:t>
      </w:r>
      <w:proofErr w:type="spellEnd"/>
      <w:r>
        <w:rPr>
          <w:sz w:val="22"/>
          <w:szCs w:val="22"/>
        </w:rPr>
        <w:t>,</w:t>
      </w:r>
      <w:r w:rsidR="00B44F9F">
        <w:rPr>
          <w:sz w:val="22"/>
          <w:szCs w:val="22"/>
        </w:rPr>
        <w:t xml:space="preserve"> announced in August 2012 the establishment of the Cook Islands Marine Park encompassing approximately 1.1 million square kilometres of the country’s southern Exclusive Economic Zone (or more than 50% of the country’s EEZ). </w:t>
      </w:r>
      <w:r>
        <w:rPr>
          <w:sz w:val="22"/>
          <w:szCs w:val="22"/>
        </w:rPr>
        <w:t>This commitment, including the financial aspects of such a commitment, underlies the need</w:t>
      </w:r>
      <w:r w:rsidR="00F4449C">
        <w:rPr>
          <w:sz w:val="22"/>
          <w:szCs w:val="22"/>
        </w:rPr>
        <w:t xml:space="preserve"> to gauge the increasing pressures on the environment vis-à-vis the goal to conserve the biodiversity for perpetuity and identify critical measures that need to be put in place to enable a win-win situation. In this regards, the Cook Islands sees great potential in sustainably utilising its vast wealth of genetic resources through a far-sighted vision which enables the fair and equitable sharing of benefits through access to genetic resources, part of which in turn is ploughed back into </w:t>
      </w:r>
      <w:r w:rsidR="008B5439">
        <w:rPr>
          <w:sz w:val="22"/>
          <w:szCs w:val="22"/>
        </w:rPr>
        <w:t>its</w:t>
      </w:r>
      <w:r w:rsidR="00F4449C">
        <w:rPr>
          <w:sz w:val="22"/>
          <w:szCs w:val="22"/>
        </w:rPr>
        <w:t xml:space="preserve"> conservation to sustain conservation initiatives in the country. It is hoped that with civic and community engagement in implementing the Access and Benefit Sharing (ABS) regime, there will be a paradigm shift from state-centri</w:t>
      </w:r>
      <w:r w:rsidR="00E95607">
        <w:rPr>
          <w:sz w:val="22"/>
          <w:szCs w:val="22"/>
        </w:rPr>
        <w:t xml:space="preserve">c conservation to people-centric conservation thereby enabling the future of conservation in the Cook Islands as well as empowering local communities and livelihoods. Furthermore, the underlying problem related to the ABS is that the potential benefit which developing countries such as the Cook Islands can receive from the exploration and exploitation of their genetic resources for drugs and agrochemicals is not fully explored. </w:t>
      </w:r>
      <w:proofErr w:type="gramStart"/>
      <w:r w:rsidR="00E95607">
        <w:rPr>
          <w:sz w:val="22"/>
          <w:szCs w:val="22"/>
        </w:rPr>
        <w:t>This results</w:t>
      </w:r>
      <w:proofErr w:type="gramEnd"/>
      <w:r w:rsidR="00E95607">
        <w:rPr>
          <w:sz w:val="22"/>
          <w:szCs w:val="22"/>
        </w:rPr>
        <w:t xml:space="preserve"> in undervaluing the genetic resources the country harbours and their overexploitation, which in turn threatens the genetic resources. At the same time, spending worldwide on drug discovery research (amount to tens of billions of dollars per year) is virtually all conducted in developed countries rather than the host countries where the biodiversity occurs naturally. As a result, the benefits that host countries receive from the exploration and exploitation of their genetic resources are limited, both in terms of financial income and trickle-down benefits such as training and employment: this in turn limits their motivation and abilities to invest in the conservation of biodiversity. </w:t>
      </w:r>
    </w:p>
    <w:p w:rsidR="00481D29" w:rsidRDefault="00481D29" w:rsidP="00606431">
      <w:pPr>
        <w:pStyle w:val="Footer"/>
        <w:spacing w:after="80"/>
        <w:jc w:val="both"/>
        <w:rPr>
          <w:sz w:val="22"/>
          <w:szCs w:val="22"/>
        </w:rPr>
      </w:pPr>
    </w:p>
    <w:p w:rsidR="00481D29" w:rsidRPr="00481D29" w:rsidRDefault="00481D29" w:rsidP="00606431">
      <w:pPr>
        <w:pStyle w:val="Footer"/>
        <w:spacing w:after="80"/>
        <w:jc w:val="both"/>
        <w:rPr>
          <w:i/>
          <w:sz w:val="22"/>
          <w:szCs w:val="22"/>
        </w:rPr>
      </w:pPr>
      <w:r w:rsidRPr="00481D29">
        <w:rPr>
          <w:i/>
          <w:sz w:val="22"/>
          <w:szCs w:val="22"/>
        </w:rPr>
        <w:t>Institutions and policies:</w:t>
      </w:r>
    </w:p>
    <w:p w:rsidR="001F531D" w:rsidRPr="00193942" w:rsidRDefault="00DB66DB" w:rsidP="001F531D">
      <w:pPr>
        <w:pStyle w:val="Footer"/>
        <w:spacing w:after="80"/>
        <w:jc w:val="both"/>
        <w:rPr>
          <w:sz w:val="22"/>
          <w:szCs w:val="22"/>
        </w:rPr>
      </w:pPr>
      <w:r w:rsidRPr="00DB66DB">
        <w:rPr>
          <w:sz w:val="22"/>
          <w:szCs w:val="22"/>
          <w:u w:val="single"/>
        </w:rPr>
        <w:t>Government</w:t>
      </w:r>
      <w:r w:rsidR="00E168C5">
        <w:rPr>
          <w:sz w:val="22"/>
          <w:szCs w:val="22"/>
          <w:u w:val="single"/>
        </w:rPr>
        <w:t xml:space="preserve"> and Traditional Rule</w:t>
      </w:r>
      <w:r w:rsidRPr="00DB66DB">
        <w:rPr>
          <w:sz w:val="22"/>
          <w:szCs w:val="22"/>
          <w:u w:val="single"/>
        </w:rPr>
        <w:t>:</w:t>
      </w:r>
      <w:r w:rsidRPr="00C928BF">
        <w:rPr>
          <w:sz w:val="22"/>
          <w:szCs w:val="22"/>
        </w:rPr>
        <w:t xml:space="preserve"> </w:t>
      </w:r>
      <w:r>
        <w:rPr>
          <w:sz w:val="22"/>
          <w:szCs w:val="22"/>
        </w:rPr>
        <w:t xml:space="preserve">The Cook Islands is a representative democracy with a parliamentary system in an associated state relationship with New Zealand. </w:t>
      </w:r>
      <w:r w:rsidR="0092186C">
        <w:rPr>
          <w:sz w:val="22"/>
          <w:szCs w:val="22"/>
        </w:rPr>
        <w:t xml:space="preserve">The Cook Islands Parliament consists of 24 members, coming from constituencies of the main island of </w:t>
      </w:r>
      <w:proofErr w:type="spellStart"/>
      <w:r w:rsidR="0092186C">
        <w:rPr>
          <w:sz w:val="22"/>
          <w:szCs w:val="22"/>
        </w:rPr>
        <w:t>Rarotonga</w:t>
      </w:r>
      <w:proofErr w:type="spellEnd"/>
      <w:r w:rsidR="0092186C">
        <w:rPr>
          <w:sz w:val="22"/>
          <w:szCs w:val="22"/>
        </w:rPr>
        <w:t xml:space="preserve"> and from th</w:t>
      </w:r>
      <w:r w:rsidR="00C928BF">
        <w:rPr>
          <w:sz w:val="22"/>
          <w:szCs w:val="22"/>
        </w:rPr>
        <w:t xml:space="preserve">e outer islands. The House of </w:t>
      </w:r>
      <w:proofErr w:type="spellStart"/>
      <w:r w:rsidR="00C928BF">
        <w:rPr>
          <w:sz w:val="22"/>
          <w:szCs w:val="22"/>
        </w:rPr>
        <w:t>Ar</w:t>
      </w:r>
      <w:r w:rsidR="0092186C">
        <w:rPr>
          <w:sz w:val="22"/>
          <w:szCs w:val="22"/>
        </w:rPr>
        <w:t>iki</w:t>
      </w:r>
      <w:proofErr w:type="spellEnd"/>
      <w:r w:rsidR="0092186C">
        <w:rPr>
          <w:sz w:val="22"/>
          <w:szCs w:val="22"/>
        </w:rPr>
        <w:t xml:space="preserve"> is a parliamentary body of the Cook Islands and is composed of Cook Islands high chiefs (</w:t>
      </w:r>
      <w:proofErr w:type="spellStart"/>
      <w:r w:rsidR="0092186C">
        <w:rPr>
          <w:sz w:val="22"/>
          <w:szCs w:val="22"/>
        </w:rPr>
        <w:t>Ariki</w:t>
      </w:r>
      <w:proofErr w:type="spellEnd"/>
      <w:r w:rsidR="0092186C">
        <w:rPr>
          <w:sz w:val="22"/>
          <w:szCs w:val="22"/>
        </w:rPr>
        <w:t xml:space="preserve">). Its function is to: </w:t>
      </w:r>
      <w:r w:rsidR="0092186C" w:rsidRPr="00C928BF">
        <w:rPr>
          <w:i/>
          <w:sz w:val="22"/>
          <w:szCs w:val="22"/>
        </w:rPr>
        <w:t xml:space="preserve">“consider such matters relative to the welfare of the people of the Cook Islands as may be submitted to it by Parliament for its consideration and it shall express its opinion and make </w:t>
      </w:r>
      <w:r w:rsidR="00C928BF" w:rsidRPr="00C928BF">
        <w:rPr>
          <w:i/>
          <w:sz w:val="22"/>
          <w:szCs w:val="22"/>
        </w:rPr>
        <w:t>recommendations thereon to Parliament”</w:t>
      </w:r>
      <w:r w:rsidR="00C928BF">
        <w:rPr>
          <w:sz w:val="22"/>
          <w:szCs w:val="22"/>
        </w:rPr>
        <w:t xml:space="preserve">. </w:t>
      </w:r>
      <w:r w:rsidR="0092186C">
        <w:rPr>
          <w:sz w:val="22"/>
          <w:szCs w:val="22"/>
        </w:rPr>
        <w:t xml:space="preserve">The Cabinet is the executive arm of Government and a Prime Minister heads the Cabinet. Each of the </w:t>
      </w:r>
      <w:r w:rsidR="00C928BF">
        <w:rPr>
          <w:sz w:val="22"/>
          <w:szCs w:val="22"/>
        </w:rPr>
        <w:t xml:space="preserve">10 inhabited outer islands has a representative Island Council (Outer Island Local Government Act 1987 with amendments, and </w:t>
      </w:r>
      <w:proofErr w:type="spellStart"/>
      <w:r w:rsidR="00C928BF">
        <w:rPr>
          <w:sz w:val="22"/>
          <w:szCs w:val="22"/>
        </w:rPr>
        <w:t>Palmerston</w:t>
      </w:r>
      <w:proofErr w:type="spellEnd"/>
      <w:r w:rsidR="00C928BF">
        <w:rPr>
          <w:sz w:val="22"/>
          <w:szCs w:val="22"/>
        </w:rPr>
        <w:t xml:space="preserve"> Island Local Government Act 1993) except Nassau, which is governed by a Committee. Each council is headed by a Mayor. The functions of the Council includes: (i) to carry into effect and administer, the provisions of Ordinance and by-laws that may be applicable to the Island; (ii) to assist in the co-ordination of any activity relevant to the economic and social development of the island; and (iii) to assist the Government of Cook Island in the good rule and government of the island. Again, each island has </w:t>
      </w:r>
      <w:r w:rsidR="001D6CE7">
        <w:rPr>
          <w:sz w:val="22"/>
          <w:szCs w:val="22"/>
        </w:rPr>
        <w:t>an</w:t>
      </w:r>
      <w:r w:rsidR="00C928BF">
        <w:rPr>
          <w:sz w:val="22"/>
          <w:szCs w:val="22"/>
        </w:rPr>
        <w:t xml:space="preserve"> </w:t>
      </w:r>
      <w:r w:rsidR="001D6CE7" w:rsidRPr="001D6CE7">
        <w:rPr>
          <w:i/>
          <w:sz w:val="22"/>
          <w:szCs w:val="22"/>
        </w:rPr>
        <w:t>‘</w:t>
      </w:r>
      <w:proofErr w:type="spellStart"/>
      <w:r w:rsidR="00C928BF" w:rsidRPr="001D6CE7">
        <w:rPr>
          <w:i/>
          <w:sz w:val="22"/>
          <w:szCs w:val="22"/>
        </w:rPr>
        <w:t>Aronga</w:t>
      </w:r>
      <w:proofErr w:type="spellEnd"/>
      <w:r w:rsidR="00C928BF" w:rsidRPr="001D6CE7">
        <w:rPr>
          <w:i/>
          <w:sz w:val="22"/>
          <w:szCs w:val="22"/>
        </w:rPr>
        <w:t xml:space="preserve"> </w:t>
      </w:r>
      <w:proofErr w:type="spellStart"/>
      <w:r w:rsidR="00C928BF" w:rsidRPr="001D6CE7">
        <w:rPr>
          <w:i/>
          <w:sz w:val="22"/>
          <w:szCs w:val="22"/>
        </w:rPr>
        <w:t>Mana</w:t>
      </w:r>
      <w:proofErr w:type="spellEnd"/>
      <w:r w:rsidR="001D6CE7" w:rsidRPr="001D6CE7">
        <w:rPr>
          <w:i/>
          <w:sz w:val="22"/>
          <w:szCs w:val="22"/>
        </w:rPr>
        <w:t>’</w:t>
      </w:r>
      <w:r w:rsidR="00C928BF">
        <w:rPr>
          <w:sz w:val="22"/>
          <w:szCs w:val="22"/>
        </w:rPr>
        <w:t>, the assemblage of the traditional leaders (</w:t>
      </w:r>
      <w:proofErr w:type="spellStart"/>
      <w:r w:rsidR="00C928BF" w:rsidRPr="00D54AEF">
        <w:rPr>
          <w:i/>
          <w:sz w:val="22"/>
          <w:szCs w:val="22"/>
        </w:rPr>
        <w:t>Ariki</w:t>
      </w:r>
      <w:proofErr w:type="spellEnd"/>
      <w:r w:rsidR="00C928BF">
        <w:rPr>
          <w:sz w:val="22"/>
          <w:szCs w:val="22"/>
        </w:rPr>
        <w:t xml:space="preserve">) of each island that provide support to the Councils. </w:t>
      </w:r>
      <w:r w:rsidR="00E168C5">
        <w:rPr>
          <w:sz w:val="22"/>
          <w:szCs w:val="22"/>
        </w:rPr>
        <w:t>Under Cook Island customary law, each district has a</w:t>
      </w:r>
      <w:r w:rsidR="00D54AEF">
        <w:rPr>
          <w:sz w:val="22"/>
          <w:szCs w:val="22"/>
        </w:rPr>
        <w:t>n</w:t>
      </w:r>
      <w:r w:rsidR="00E168C5">
        <w:rPr>
          <w:sz w:val="22"/>
          <w:szCs w:val="22"/>
        </w:rPr>
        <w:t xml:space="preserve"> </w:t>
      </w:r>
      <w:proofErr w:type="spellStart"/>
      <w:r w:rsidR="00E168C5" w:rsidRPr="00D54AEF">
        <w:rPr>
          <w:i/>
          <w:sz w:val="22"/>
          <w:szCs w:val="22"/>
        </w:rPr>
        <w:t>Ariki</w:t>
      </w:r>
      <w:proofErr w:type="spellEnd"/>
      <w:r w:rsidR="00E168C5" w:rsidRPr="00D54AEF">
        <w:rPr>
          <w:i/>
          <w:sz w:val="22"/>
          <w:szCs w:val="22"/>
        </w:rPr>
        <w:t xml:space="preserve"> </w:t>
      </w:r>
      <w:r w:rsidR="00E168C5">
        <w:rPr>
          <w:sz w:val="22"/>
          <w:szCs w:val="22"/>
        </w:rPr>
        <w:t xml:space="preserve">(paramount chief) and each </w:t>
      </w:r>
      <w:proofErr w:type="spellStart"/>
      <w:r w:rsidR="00E168C5" w:rsidRPr="00D54AEF">
        <w:rPr>
          <w:i/>
          <w:sz w:val="22"/>
          <w:szCs w:val="22"/>
        </w:rPr>
        <w:t>Ariki</w:t>
      </w:r>
      <w:proofErr w:type="spellEnd"/>
      <w:r w:rsidR="00E168C5">
        <w:rPr>
          <w:sz w:val="22"/>
          <w:szCs w:val="22"/>
        </w:rPr>
        <w:t xml:space="preserve"> has a number of </w:t>
      </w:r>
      <w:proofErr w:type="spellStart"/>
      <w:r w:rsidR="00E168C5" w:rsidRPr="00D54AEF">
        <w:rPr>
          <w:i/>
          <w:sz w:val="22"/>
          <w:szCs w:val="22"/>
        </w:rPr>
        <w:t>Koutu</w:t>
      </w:r>
      <w:proofErr w:type="spellEnd"/>
      <w:r w:rsidR="00E168C5">
        <w:rPr>
          <w:sz w:val="22"/>
          <w:szCs w:val="22"/>
        </w:rPr>
        <w:t>-representatives of sub-</w:t>
      </w:r>
      <w:r w:rsidR="00E168C5">
        <w:rPr>
          <w:sz w:val="22"/>
          <w:szCs w:val="22"/>
        </w:rPr>
        <w:lastRenderedPageBreak/>
        <w:t xml:space="preserve">districts and chiefs who are responsible for the cultural heritage of Cook Islands. The </w:t>
      </w:r>
      <w:proofErr w:type="spellStart"/>
      <w:r w:rsidR="00E168C5" w:rsidRPr="00D54AEF">
        <w:rPr>
          <w:i/>
          <w:sz w:val="22"/>
          <w:szCs w:val="22"/>
        </w:rPr>
        <w:t>Koutu</w:t>
      </w:r>
      <w:proofErr w:type="spellEnd"/>
      <w:r w:rsidR="00E168C5" w:rsidRPr="00D54AEF">
        <w:rPr>
          <w:i/>
          <w:sz w:val="22"/>
          <w:szCs w:val="22"/>
        </w:rPr>
        <w:t xml:space="preserve"> Nui</w:t>
      </w:r>
      <w:r w:rsidR="00E168C5">
        <w:rPr>
          <w:sz w:val="22"/>
          <w:szCs w:val="22"/>
        </w:rPr>
        <w:t xml:space="preserve">, a formal assemblage of these chiefs </w:t>
      </w:r>
      <w:r w:rsidR="00D54AEF">
        <w:rPr>
          <w:sz w:val="22"/>
          <w:szCs w:val="22"/>
        </w:rPr>
        <w:t>is</w:t>
      </w:r>
      <w:r w:rsidR="00E168C5">
        <w:rPr>
          <w:sz w:val="22"/>
          <w:szCs w:val="22"/>
        </w:rPr>
        <w:t xml:space="preserve"> charged with overseeing the cultural impacts of modern lawmaking</w:t>
      </w:r>
      <w:r w:rsidR="00E168C5">
        <w:rPr>
          <w:rStyle w:val="FootnoteReference"/>
          <w:sz w:val="22"/>
          <w:szCs w:val="22"/>
        </w:rPr>
        <w:footnoteReference w:id="10"/>
      </w:r>
      <w:r w:rsidR="00E168C5">
        <w:rPr>
          <w:sz w:val="22"/>
          <w:szCs w:val="22"/>
        </w:rPr>
        <w:t xml:space="preserve">. </w:t>
      </w:r>
      <w:r w:rsidR="00481D29">
        <w:rPr>
          <w:sz w:val="22"/>
          <w:szCs w:val="22"/>
        </w:rPr>
        <w:t>The Cook Island’s national environmental authority is the National Environment Services (NES). The NES has a total staff complement of 28 staff</w:t>
      </w:r>
      <w:r w:rsidR="00481D29">
        <w:rPr>
          <w:rStyle w:val="FootnoteReference"/>
          <w:sz w:val="22"/>
          <w:szCs w:val="22"/>
        </w:rPr>
        <w:footnoteReference w:id="11"/>
      </w:r>
      <w:r w:rsidR="00481D29">
        <w:rPr>
          <w:sz w:val="22"/>
          <w:szCs w:val="22"/>
        </w:rPr>
        <w:t>, of which only 4 focus exclusively on biodiversity</w:t>
      </w:r>
      <w:r>
        <w:rPr>
          <w:sz w:val="22"/>
          <w:szCs w:val="22"/>
        </w:rPr>
        <w:t xml:space="preserve"> in the Biodiversity Unit (BU)</w:t>
      </w:r>
      <w:r w:rsidR="00481D29">
        <w:rPr>
          <w:sz w:val="22"/>
          <w:szCs w:val="22"/>
        </w:rPr>
        <w:t xml:space="preserve">. </w:t>
      </w:r>
      <w:r w:rsidR="001D6CE7">
        <w:rPr>
          <w:sz w:val="22"/>
          <w:szCs w:val="22"/>
        </w:rPr>
        <w:t xml:space="preserve">Also within the NES, is </w:t>
      </w:r>
      <w:r w:rsidR="001D6CE7" w:rsidRPr="001D6CE7">
        <w:rPr>
          <w:sz w:val="22"/>
          <w:szCs w:val="22"/>
        </w:rPr>
        <w:t xml:space="preserve">the </w:t>
      </w:r>
      <w:r w:rsidR="005924BF" w:rsidRPr="001D6CE7">
        <w:rPr>
          <w:bCs/>
          <w:sz w:val="22"/>
          <w:szCs w:val="22"/>
        </w:rPr>
        <w:t xml:space="preserve">Island Futures Division (IFD) </w:t>
      </w:r>
      <w:r w:rsidR="001D6CE7" w:rsidRPr="001D6CE7">
        <w:rPr>
          <w:bCs/>
          <w:sz w:val="22"/>
          <w:szCs w:val="22"/>
        </w:rPr>
        <w:t xml:space="preserve">which major functions include </w:t>
      </w:r>
      <w:r w:rsidR="005924BF" w:rsidRPr="001D6CE7">
        <w:rPr>
          <w:bCs/>
          <w:sz w:val="22"/>
          <w:szCs w:val="22"/>
        </w:rPr>
        <w:t xml:space="preserve">providing advice on </w:t>
      </w:r>
      <w:r w:rsidR="001D6CE7" w:rsidRPr="001D6CE7">
        <w:rPr>
          <w:bCs/>
          <w:sz w:val="22"/>
          <w:szCs w:val="22"/>
        </w:rPr>
        <w:t xml:space="preserve">multi-lateral environmental agreements (MEAs) </w:t>
      </w:r>
      <w:r w:rsidR="005924BF" w:rsidRPr="001D6CE7">
        <w:rPr>
          <w:bCs/>
          <w:sz w:val="22"/>
          <w:szCs w:val="22"/>
        </w:rPr>
        <w:t xml:space="preserve">to Government, NGOs, private sector and the general public as well as meeting obligations to MEAs, negotiate, coordinate and manage all projects relevant to MEAs and participate in negotiation meetings at regional and international level on behalf of the Cook Islanders. </w:t>
      </w:r>
      <w:r w:rsidRPr="001D6CE7">
        <w:rPr>
          <w:bCs/>
          <w:sz w:val="22"/>
          <w:szCs w:val="22"/>
        </w:rPr>
        <w:t xml:space="preserve">The IFD contributes to the overall outputs of the National Environment Service through Education and Awareness programmes and assistance to the Advisory and Compliance Division. </w:t>
      </w:r>
      <w:r w:rsidRPr="001D6CE7">
        <w:rPr>
          <w:sz w:val="22"/>
          <w:szCs w:val="22"/>
        </w:rPr>
        <w:t>The Ministry</w:t>
      </w:r>
      <w:r>
        <w:rPr>
          <w:sz w:val="22"/>
          <w:szCs w:val="22"/>
        </w:rPr>
        <w:t xml:space="preserve"> of Marine Resources (staff number of around 44, with 50% stationed in </w:t>
      </w:r>
      <w:proofErr w:type="spellStart"/>
      <w:r>
        <w:rPr>
          <w:sz w:val="22"/>
          <w:szCs w:val="22"/>
        </w:rPr>
        <w:t>Rarotonga</w:t>
      </w:r>
      <w:proofErr w:type="spellEnd"/>
      <w:r>
        <w:rPr>
          <w:sz w:val="22"/>
          <w:szCs w:val="22"/>
        </w:rPr>
        <w:t>) is responsible for marine resource management.</w:t>
      </w:r>
      <w:r w:rsidR="001F531D" w:rsidRPr="001F531D">
        <w:rPr>
          <w:sz w:val="22"/>
          <w:szCs w:val="22"/>
        </w:rPr>
        <w:t xml:space="preserve"> </w:t>
      </w:r>
      <w:r w:rsidR="001F531D">
        <w:rPr>
          <w:sz w:val="22"/>
          <w:szCs w:val="22"/>
        </w:rPr>
        <w:t>A National Research Committee has been established wit</w:t>
      </w:r>
      <w:r w:rsidR="00D54AEF">
        <w:rPr>
          <w:sz w:val="22"/>
          <w:szCs w:val="22"/>
        </w:rPr>
        <w:t>hin the Prime Minister’s office</w:t>
      </w:r>
      <w:r w:rsidR="001F531D">
        <w:rPr>
          <w:sz w:val="22"/>
          <w:szCs w:val="22"/>
        </w:rPr>
        <w:t xml:space="preserve">. This committee comprises of Government and non-Government agencies. </w:t>
      </w:r>
      <w:r w:rsidR="00D54AEF">
        <w:rPr>
          <w:sz w:val="22"/>
          <w:szCs w:val="22"/>
        </w:rPr>
        <w:t xml:space="preserve">Its </w:t>
      </w:r>
      <w:r w:rsidR="001F531D">
        <w:rPr>
          <w:sz w:val="22"/>
          <w:szCs w:val="22"/>
        </w:rPr>
        <w:t>role is to approve any research that is carried out in the Cook Islands, including biodiversity.</w:t>
      </w:r>
      <w:r w:rsidR="001F531D" w:rsidRPr="001F531D">
        <w:rPr>
          <w:sz w:val="22"/>
          <w:szCs w:val="22"/>
        </w:rPr>
        <w:t xml:space="preserve"> </w:t>
      </w:r>
      <w:r w:rsidR="001F531D">
        <w:rPr>
          <w:sz w:val="22"/>
          <w:szCs w:val="22"/>
        </w:rPr>
        <w:t xml:space="preserve">The National Heritage Trust was established in 1999 by an Act of Parliament. The Trust has developed and maintained a biodiversity database. The Cook Islands multimedia Biodiversity </w:t>
      </w:r>
      <w:r w:rsidR="001F531D" w:rsidRPr="00193942">
        <w:rPr>
          <w:sz w:val="22"/>
          <w:szCs w:val="22"/>
        </w:rPr>
        <w:t>database has been online since 2003, and presently has information on 4,500 existing species, native and introduced, including 2,500 with photographs to aid recognition. Well known groups, such as birds, lizards, fishes, flowering plants and ferns are essentially complete. The database development has three goals: (i) t</w:t>
      </w:r>
      <w:r w:rsidR="005C37C5" w:rsidRPr="00193942">
        <w:rPr>
          <w:sz w:val="22"/>
          <w:szCs w:val="22"/>
        </w:rPr>
        <w:t>o record in a single database a</w:t>
      </w:r>
      <w:r w:rsidR="001F531D" w:rsidRPr="00193942">
        <w:rPr>
          <w:sz w:val="22"/>
          <w:szCs w:val="22"/>
        </w:rPr>
        <w:t xml:space="preserve">ll local plants and animals with images and key identification features; (ii) To record relevant traditional and scientific knowledge; and (iii) To make this information available to the public to facilitate awareness and communication. </w:t>
      </w:r>
      <w:r w:rsidR="00CD32FE" w:rsidRPr="00193942">
        <w:rPr>
          <w:sz w:val="22"/>
          <w:szCs w:val="22"/>
        </w:rPr>
        <w:t>The Ministry of Cultural D</w:t>
      </w:r>
      <w:r w:rsidR="006555B3" w:rsidRPr="00193942">
        <w:rPr>
          <w:sz w:val="22"/>
          <w:szCs w:val="22"/>
        </w:rPr>
        <w:t xml:space="preserve">evelopment </w:t>
      </w:r>
      <w:r w:rsidR="00CD32FE" w:rsidRPr="00193942">
        <w:rPr>
          <w:sz w:val="22"/>
          <w:szCs w:val="22"/>
        </w:rPr>
        <w:t xml:space="preserve">also </w:t>
      </w:r>
      <w:r w:rsidR="006555B3" w:rsidRPr="00193942">
        <w:rPr>
          <w:sz w:val="22"/>
          <w:szCs w:val="22"/>
        </w:rPr>
        <w:t xml:space="preserve">keeps a register of traditional holders and rights. </w:t>
      </w:r>
    </w:p>
    <w:p w:rsidR="00551859" w:rsidRPr="00193942" w:rsidRDefault="00551859" w:rsidP="00551859">
      <w:pPr>
        <w:pStyle w:val="Footer"/>
        <w:spacing w:after="80"/>
        <w:jc w:val="both"/>
        <w:rPr>
          <w:sz w:val="22"/>
          <w:szCs w:val="22"/>
        </w:rPr>
      </w:pPr>
      <w:r w:rsidRPr="00193942">
        <w:rPr>
          <w:bCs/>
          <w:sz w:val="22"/>
          <w:szCs w:val="22"/>
          <w:u w:val="single"/>
        </w:rPr>
        <w:t>Traditional Conservation of Biodiversity:</w:t>
      </w:r>
      <w:r w:rsidRPr="00193942">
        <w:rPr>
          <w:bCs/>
          <w:sz w:val="22"/>
          <w:szCs w:val="22"/>
        </w:rPr>
        <w:t xml:space="preserve"> </w:t>
      </w:r>
      <w:r w:rsidRPr="00193942">
        <w:rPr>
          <w:sz w:val="22"/>
          <w:szCs w:val="22"/>
        </w:rPr>
        <w:t xml:space="preserve">The protection of areas and species of special significance is not a new concept to the Cook Islands. The concept of reserves has existed in the Cook Islands for hundreds of years in one form or another. The imposition of the </w:t>
      </w:r>
      <w:proofErr w:type="spellStart"/>
      <w:r w:rsidRPr="00193942">
        <w:rPr>
          <w:i/>
          <w:sz w:val="22"/>
          <w:szCs w:val="22"/>
        </w:rPr>
        <w:t>ra’ui</w:t>
      </w:r>
      <w:proofErr w:type="spellEnd"/>
      <w:r w:rsidRPr="00193942">
        <w:rPr>
          <w:rStyle w:val="FootnoteReference"/>
          <w:i/>
          <w:sz w:val="22"/>
          <w:szCs w:val="22"/>
        </w:rPr>
        <w:footnoteReference w:id="12"/>
      </w:r>
      <w:r w:rsidRPr="00193942">
        <w:rPr>
          <w:sz w:val="22"/>
          <w:szCs w:val="22"/>
        </w:rPr>
        <w:t xml:space="preserve">: a traditional system whereby access to a particular resource or area is forbidden for a given </w:t>
      </w:r>
      <w:proofErr w:type="gramStart"/>
      <w:r w:rsidRPr="00193942">
        <w:rPr>
          <w:sz w:val="22"/>
          <w:szCs w:val="22"/>
        </w:rPr>
        <w:t>period,</w:t>
      </w:r>
      <w:proofErr w:type="gramEnd"/>
      <w:r w:rsidRPr="00193942">
        <w:rPr>
          <w:sz w:val="22"/>
          <w:szCs w:val="22"/>
        </w:rPr>
        <w:t xml:space="preserve"> is still being practiced in the Cook Islands. The </w:t>
      </w:r>
      <w:proofErr w:type="spellStart"/>
      <w:r w:rsidRPr="00193942">
        <w:rPr>
          <w:i/>
          <w:sz w:val="22"/>
          <w:szCs w:val="22"/>
        </w:rPr>
        <w:t>ra’ui</w:t>
      </w:r>
      <w:proofErr w:type="spellEnd"/>
      <w:r w:rsidRPr="00193942">
        <w:rPr>
          <w:sz w:val="22"/>
          <w:szCs w:val="22"/>
        </w:rPr>
        <w:t xml:space="preserve"> are promoted and supported by the </w:t>
      </w:r>
      <w:proofErr w:type="spellStart"/>
      <w:r w:rsidRPr="00193942">
        <w:rPr>
          <w:i/>
          <w:sz w:val="22"/>
          <w:szCs w:val="22"/>
        </w:rPr>
        <w:t>Koutu</w:t>
      </w:r>
      <w:proofErr w:type="spellEnd"/>
      <w:r w:rsidRPr="00193942">
        <w:rPr>
          <w:i/>
          <w:sz w:val="22"/>
          <w:szCs w:val="22"/>
        </w:rPr>
        <w:t xml:space="preserve"> Nui</w:t>
      </w:r>
      <w:r w:rsidRPr="00193942">
        <w:rPr>
          <w:rStyle w:val="FootnoteReference"/>
          <w:i/>
          <w:sz w:val="22"/>
          <w:szCs w:val="22"/>
        </w:rPr>
        <w:footnoteReference w:id="13"/>
      </w:r>
      <w:r w:rsidRPr="00193942">
        <w:rPr>
          <w:sz w:val="22"/>
          <w:szCs w:val="22"/>
        </w:rPr>
        <w:t xml:space="preserve"> and the </w:t>
      </w:r>
      <w:proofErr w:type="spellStart"/>
      <w:r w:rsidRPr="00193942">
        <w:rPr>
          <w:i/>
          <w:sz w:val="22"/>
          <w:szCs w:val="22"/>
        </w:rPr>
        <w:t>Koutu</w:t>
      </w:r>
      <w:proofErr w:type="spellEnd"/>
      <w:r w:rsidRPr="00193942">
        <w:rPr>
          <w:i/>
          <w:sz w:val="22"/>
          <w:szCs w:val="22"/>
        </w:rPr>
        <w:t xml:space="preserve"> Nui</w:t>
      </w:r>
      <w:r w:rsidRPr="00193942">
        <w:rPr>
          <w:sz w:val="22"/>
          <w:szCs w:val="22"/>
        </w:rPr>
        <w:t xml:space="preserve"> is responsible for the establishment of </w:t>
      </w:r>
      <w:proofErr w:type="spellStart"/>
      <w:r w:rsidRPr="00193942">
        <w:rPr>
          <w:i/>
          <w:sz w:val="22"/>
          <w:szCs w:val="22"/>
        </w:rPr>
        <w:t>ra’ui</w:t>
      </w:r>
      <w:proofErr w:type="spellEnd"/>
      <w:r w:rsidRPr="00193942">
        <w:rPr>
          <w:sz w:val="22"/>
          <w:szCs w:val="22"/>
        </w:rPr>
        <w:t xml:space="preserve">. The advantage of using the traditional system in the modern context is that it is community based and managed. </w:t>
      </w:r>
      <w:proofErr w:type="spellStart"/>
      <w:r w:rsidRPr="00193942">
        <w:rPr>
          <w:i/>
          <w:sz w:val="22"/>
          <w:szCs w:val="22"/>
        </w:rPr>
        <w:t>Ra’ui</w:t>
      </w:r>
      <w:proofErr w:type="spellEnd"/>
      <w:r w:rsidRPr="00193942">
        <w:rPr>
          <w:sz w:val="22"/>
          <w:szCs w:val="22"/>
        </w:rPr>
        <w:t xml:space="preserve"> </w:t>
      </w:r>
      <w:proofErr w:type="gramStart"/>
      <w:r w:rsidRPr="00193942">
        <w:rPr>
          <w:sz w:val="22"/>
          <w:szCs w:val="22"/>
        </w:rPr>
        <w:t>are</w:t>
      </w:r>
      <w:proofErr w:type="gramEnd"/>
      <w:r w:rsidRPr="00193942">
        <w:rPr>
          <w:sz w:val="22"/>
          <w:szCs w:val="22"/>
        </w:rPr>
        <w:t xml:space="preserve"> locally managed by community members. Management measures include traditional practices – most commonly, seasonal closures of an area (mostly marine areas) to ensure replenishment of a stock of an important economic species (fish for example) – but now also include longer term closures from harvesting of areas to conserve particularly threatened species. </w:t>
      </w:r>
    </w:p>
    <w:p w:rsidR="0060658F" w:rsidRDefault="001F531D" w:rsidP="0060658F">
      <w:pPr>
        <w:pStyle w:val="Footer"/>
        <w:spacing w:after="80"/>
        <w:jc w:val="both"/>
        <w:rPr>
          <w:bCs/>
          <w:sz w:val="22"/>
          <w:szCs w:val="22"/>
        </w:rPr>
      </w:pPr>
      <w:r w:rsidRPr="00193942">
        <w:rPr>
          <w:bCs/>
          <w:sz w:val="22"/>
          <w:szCs w:val="22"/>
          <w:u w:val="single"/>
        </w:rPr>
        <w:t>ABS Legislation:</w:t>
      </w:r>
      <w:r w:rsidRPr="00193942">
        <w:rPr>
          <w:bCs/>
          <w:sz w:val="22"/>
          <w:szCs w:val="22"/>
        </w:rPr>
        <w:t xml:space="preserve"> </w:t>
      </w:r>
      <w:r w:rsidR="0060658F" w:rsidRPr="00193942">
        <w:rPr>
          <w:bCs/>
          <w:sz w:val="22"/>
          <w:szCs w:val="22"/>
        </w:rPr>
        <w:t xml:space="preserve">The Cook Islands </w:t>
      </w:r>
      <w:r w:rsidR="00034CDA" w:rsidRPr="00193942">
        <w:rPr>
          <w:bCs/>
          <w:sz w:val="22"/>
          <w:szCs w:val="22"/>
        </w:rPr>
        <w:t xml:space="preserve">has an </w:t>
      </w:r>
      <w:r w:rsidR="00A96CCF" w:rsidRPr="00193942">
        <w:rPr>
          <w:bCs/>
          <w:sz w:val="22"/>
          <w:szCs w:val="22"/>
        </w:rPr>
        <w:t>ABS Bill called</w:t>
      </w:r>
      <w:r w:rsidR="0060658F" w:rsidRPr="00193942">
        <w:rPr>
          <w:bCs/>
          <w:sz w:val="22"/>
          <w:szCs w:val="22"/>
        </w:rPr>
        <w:t xml:space="preserve"> Biological Research an</w:t>
      </w:r>
      <w:r w:rsidR="00034CDA" w:rsidRPr="00193942">
        <w:rPr>
          <w:bCs/>
          <w:sz w:val="22"/>
          <w:szCs w:val="22"/>
        </w:rPr>
        <w:t>d Benefits Bill drafted in 2006. This Bill</w:t>
      </w:r>
      <w:r w:rsidR="0060658F" w:rsidRPr="00193942">
        <w:rPr>
          <w:bCs/>
          <w:sz w:val="22"/>
          <w:szCs w:val="22"/>
        </w:rPr>
        <w:t xml:space="preserve"> </w:t>
      </w:r>
      <w:r w:rsidR="00A96CCF" w:rsidRPr="00193942">
        <w:rPr>
          <w:bCs/>
          <w:sz w:val="22"/>
          <w:szCs w:val="22"/>
        </w:rPr>
        <w:t xml:space="preserve">was </w:t>
      </w:r>
      <w:r w:rsidR="00355372" w:rsidRPr="00193942">
        <w:rPr>
          <w:bCs/>
          <w:sz w:val="22"/>
          <w:szCs w:val="22"/>
        </w:rPr>
        <w:t>based on the Bonn guidelines</w:t>
      </w:r>
      <w:r w:rsidR="0060658F" w:rsidRPr="00193942">
        <w:rPr>
          <w:bCs/>
          <w:sz w:val="22"/>
          <w:szCs w:val="22"/>
        </w:rPr>
        <w:t xml:space="preserve">, prior to the adoption of the Nagoya Protocol in 2010. </w:t>
      </w:r>
      <w:r w:rsidRPr="00193942">
        <w:rPr>
          <w:bCs/>
          <w:sz w:val="22"/>
          <w:szCs w:val="22"/>
        </w:rPr>
        <w:t>Further, t</w:t>
      </w:r>
      <w:r w:rsidR="0060658F" w:rsidRPr="00193942">
        <w:rPr>
          <w:bCs/>
          <w:sz w:val="22"/>
          <w:szCs w:val="22"/>
        </w:rPr>
        <w:t>he Cook Islands</w:t>
      </w:r>
      <w:r w:rsidRPr="00193942">
        <w:rPr>
          <w:bCs/>
          <w:sz w:val="22"/>
          <w:szCs w:val="22"/>
        </w:rPr>
        <w:t>’</w:t>
      </w:r>
      <w:r w:rsidR="0060658F" w:rsidRPr="00193942">
        <w:rPr>
          <w:bCs/>
          <w:sz w:val="22"/>
          <w:szCs w:val="22"/>
        </w:rPr>
        <w:t xml:space="preserve"> National Research Policy clearly outlin</w:t>
      </w:r>
      <w:r w:rsidRPr="00193942">
        <w:rPr>
          <w:bCs/>
          <w:sz w:val="22"/>
          <w:szCs w:val="22"/>
        </w:rPr>
        <w:t>es</w:t>
      </w:r>
      <w:r w:rsidR="0060658F" w:rsidRPr="00193942">
        <w:rPr>
          <w:bCs/>
          <w:sz w:val="22"/>
          <w:szCs w:val="22"/>
        </w:rPr>
        <w:t xml:space="preserve"> the National Research Committee and the Research permit process. The national administrative processes for issuing ABS license, negotiating and enforcing agreements have not been fully clarified and key stakeholders remain unaware of their roles in promoting ABS.</w:t>
      </w:r>
    </w:p>
    <w:p w:rsidR="00C90DD9" w:rsidRPr="0001061D" w:rsidRDefault="00F76A79" w:rsidP="00C90DD9">
      <w:pPr>
        <w:pStyle w:val="Footer"/>
        <w:spacing w:after="80"/>
        <w:jc w:val="both"/>
        <w:rPr>
          <w:sz w:val="22"/>
          <w:szCs w:val="22"/>
        </w:rPr>
      </w:pPr>
      <w:r w:rsidRPr="00F76A79">
        <w:rPr>
          <w:sz w:val="22"/>
          <w:szCs w:val="22"/>
          <w:u w:val="single"/>
        </w:rPr>
        <w:t xml:space="preserve">ABS Activities: </w:t>
      </w:r>
      <w:r w:rsidRPr="00F76A79">
        <w:rPr>
          <w:sz w:val="22"/>
          <w:szCs w:val="22"/>
        </w:rPr>
        <w:t xml:space="preserve">Cook Islands Medical Technologies (CIMTECH) </w:t>
      </w:r>
      <w:r>
        <w:rPr>
          <w:sz w:val="22"/>
          <w:szCs w:val="22"/>
        </w:rPr>
        <w:t xml:space="preserve">is a natural products research and development company that draws on the traditional medicines of the Cook Islands to bring new natural beauty skincare, </w:t>
      </w:r>
      <w:proofErr w:type="spellStart"/>
      <w:r>
        <w:rPr>
          <w:sz w:val="22"/>
          <w:szCs w:val="22"/>
        </w:rPr>
        <w:t>cosmeceuticals</w:t>
      </w:r>
      <w:proofErr w:type="spellEnd"/>
      <w:r>
        <w:rPr>
          <w:sz w:val="22"/>
          <w:szCs w:val="22"/>
        </w:rPr>
        <w:t>, dermatological and pharmaceutical products to the market</w:t>
      </w:r>
      <w:r w:rsidR="00D54AEF">
        <w:rPr>
          <w:rStyle w:val="FootnoteReference"/>
          <w:sz w:val="22"/>
          <w:szCs w:val="22"/>
        </w:rPr>
        <w:footnoteReference w:id="14"/>
      </w:r>
      <w:r w:rsidR="00D54AEF">
        <w:rPr>
          <w:sz w:val="22"/>
          <w:szCs w:val="22"/>
        </w:rPr>
        <w:t xml:space="preserve">. </w:t>
      </w:r>
      <w:r w:rsidR="00C90DD9" w:rsidRPr="0001061D">
        <w:rPr>
          <w:sz w:val="22"/>
          <w:szCs w:val="22"/>
        </w:rPr>
        <w:t xml:space="preserve">CIMTECH has established an access and benefit sharing agreement with the </w:t>
      </w:r>
      <w:proofErr w:type="spellStart"/>
      <w:r w:rsidR="00C90DD9" w:rsidRPr="00F76A79">
        <w:rPr>
          <w:i/>
          <w:sz w:val="22"/>
          <w:szCs w:val="22"/>
        </w:rPr>
        <w:t>Koutu</w:t>
      </w:r>
      <w:proofErr w:type="spellEnd"/>
      <w:r w:rsidR="00C90DD9" w:rsidRPr="00F76A79">
        <w:rPr>
          <w:i/>
          <w:sz w:val="22"/>
          <w:szCs w:val="22"/>
        </w:rPr>
        <w:t xml:space="preserve"> Nui</w:t>
      </w:r>
      <w:r w:rsidR="00C90DD9" w:rsidRPr="0001061D">
        <w:rPr>
          <w:sz w:val="22"/>
          <w:szCs w:val="22"/>
        </w:rPr>
        <w:t xml:space="preserve"> regarding the research and development of traditional medicines that was developed under mutually agreed terms with prior informed consent</w:t>
      </w:r>
      <w:r w:rsidR="00D54AEF">
        <w:rPr>
          <w:sz w:val="22"/>
          <w:szCs w:val="22"/>
        </w:rPr>
        <w:t xml:space="preserve"> (PIC)</w:t>
      </w:r>
      <w:r w:rsidR="00A42FA5">
        <w:rPr>
          <w:sz w:val="22"/>
          <w:szCs w:val="22"/>
        </w:rPr>
        <w:t>.</w:t>
      </w:r>
      <w:r w:rsidR="00C90DD9" w:rsidRPr="0001061D">
        <w:rPr>
          <w:sz w:val="22"/>
          <w:szCs w:val="22"/>
        </w:rPr>
        <w:t xml:space="preserve"> The Private comp</w:t>
      </w:r>
      <w:r w:rsidR="00D54AEF">
        <w:rPr>
          <w:sz w:val="22"/>
          <w:szCs w:val="22"/>
        </w:rPr>
        <w:t>any (CIMTECH) incorporates</w:t>
      </w:r>
      <w:r w:rsidR="00A42FA5" w:rsidRPr="00A42FA5">
        <w:rPr>
          <w:i/>
          <w:sz w:val="22"/>
          <w:szCs w:val="22"/>
        </w:rPr>
        <w:t xml:space="preserve"> </w:t>
      </w:r>
      <w:proofErr w:type="spellStart"/>
      <w:r w:rsidR="00A42FA5" w:rsidRPr="00817B57">
        <w:rPr>
          <w:i/>
          <w:sz w:val="22"/>
          <w:szCs w:val="22"/>
        </w:rPr>
        <w:t>Koutu</w:t>
      </w:r>
      <w:proofErr w:type="spellEnd"/>
      <w:r w:rsidR="00A42FA5" w:rsidRPr="00817B57">
        <w:rPr>
          <w:i/>
          <w:sz w:val="22"/>
          <w:szCs w:val="22"/>
        </w:rPr>
        <w:t xml:space="preserve"> Nu</w:t>
      </w:r>
      <w:r w:rsidR="00CD32FE">
        <w:rPr>
          <w:i/>
          <w:sz w:val="22"/>
          <w:szCs w:val="22"/>
        </w:rPr>
        <w:t>i</w:t>
      </w:r>
      <w:r w:rsidR="00A42FA5">
        <w:rPr>
          <w:i/>
          <w:sz w:val="22"/>
          <w:szCs w:val="22"/>
        </w:rPr>
        <w:t xml:space="preserve">, </w:t>
      </w:r>
      <w:r w:rsidR="00A42FA5" w:rsidRPr="00A42FA5">
        <w:rPr>
          <w:sz w:val="22"/>
          <w:szCs w:val="22"/>
        </w:rPr>
        <w:t>as well as</w:t>
      </w:r>
      <w:r w:rsidR="00D54AEF" w:rsidRPr="00A42FA5">
        <w:rPr>
          <w:sz w:val="22"/>
          <w:szCs w:val="22"/>
        </w:rPr>
        <w:t xml:space="preserve"> the</w:t>
      </w:r>
      <w:r w:rsidR="00D54AEF">
        <w:rPr>
          <w:sz w:val="22"/>
          <w:szCs w:val="22"/>
        </w:rPr>
        <w:t xml:space="preserve"> U</w:t>
      </w:r>
      <w:r w:rsidR="00C90DD9" w:rsidRPr="0001061D">
        <w:rPr>
          <w:sz w:val="22"/>
          <w:szCs w:val="22"/>
        </w:rPr>
        <w:t xml:space="preserve">niversity </w:t>
      </w:r>
      <w:r w:rsidR="00D54AEF">
        <w:rPr>
          <w:sz w:val="22"/>
          <w:szCs w:val="22"/>
        </w:rPr>
        <w:t xml:space="preserve">on New South Wales </w:t>
      </w:r>
      <w:r w:rsidR="00C90DD9" w:rsidRPr="0001061D">
        <w:rPr>
          <w:sz w:val="22"/>
          <w:szCs w:val="22"/>
        </w:rPr>
        <w:t>(UNSW</w:t>
      </w:r>
      <w:r w:rsidR="00817B57">
        <w:rPr>
          <w:sz w:val="22"/>
          <w:szCs w:val="22"/>
        </w:rPr>
        <w:t>, Australia</w:t>
      </w:r>
      <w:r w:rsidR="00A42FA5">
        <w:rPr>
          <w:sz w:val="22"/>
          <w:szCs w:val="22"/>
        </w:rPr>
        <w:t>),</w:t>
      </w:r>
      <w:r w:rsidR="00C90DD9" w:rsidRPr="0001061D">
        <w:rPr>
          <w:sz w:val="22"/>
          <w:szCs w:val="22"/>
        </w:rPr>
        <w:t xml:space="preserve"> </w:t>
      </w:r>
      <w:r w:rsidR="00817B57">
        <w:rPr>
          <w:sz w:val="22"/>
          <w:szCs w:val="22"/>
        </w:rPr>
        <w:t>as major shareholders.</w:t>
      </w:r>
      <w:r w:rsidR="00C90DD9" w:rsidRPr="0001061D">
        <w:rPr>
          <w:sz w:val="22"/>
          <w:szCs w:val="22"/>
        </w:rPr>
        <w:t xml:space="preserve"> </w:t>
      </w:r>
      <w:r w:rsidR="00A42FA5">
        <w:rPr>
          <w:sz w:val="22"/>
          <w:szCs w:val="22"/>
        </w:rPr>
        <w:t xml:space="preserve">The company </w:t>
      </w:r>
      <w:r w:rsidR="00C90DD9" w:rsidRPr="0001061D">
        <w:rPr>
          <w:sz w:val="22"/>
          <w:szCs w:val="22"/>
        </w:rPr>
        <w:t>has developed technology derived from the traditional knowledge and genetic heritage of the Cook Islands under arrangements compliant with the Nagoy</w:t>
      </w:r>
      <w:r w:rsidR="00C90DD9">
        <w:rPr>
          <w:sz w:val="22"/>
          <w:szCs w:val="22"/>
        </w:rPr>
        <w:t xml:space="preserve">a Protocol stated objectives. </w:t>
      </w:r>
      <w:r w:rsidR="00C90DD9" w:rsidRPr="0001061D">
        <w:rPr>
          <w:sz w:val="22"/>
          <w:szCs w:val="22"/>
        </w:rPr>
        <w:t xml:space="preserve">The existing commercial applications of this </w:t>
      </w:r>
      <w:r w:rsidR="00C90DD9" w:rsidRPr="0001061D">
        <w:rPr>
          <w:sz w:val="22"/>
          <w:szCs w:val="22"/>
        </w:rPr>
        <w:lastRenderedPageBreak/>
        <w:t xml:space="preserve">agreement are implemented with benefits accruing to the Cook Islands </w:t>
      </w:r>
      <w:r w:rsidR="00A42FA5">
        <w:rPr>
          <w:sz w:val="22"/>
          <w:szCs w:val="22"/>
        </w:rPr>
        <w:t>including</w:t>
      </w:r>
      <w:r w:rsidR="00817B57" w:rsidRPr="0001061D">
        <w:rPr>
          <w:sz w:val="22"/>
          <w:szCs w:val="22"/>
        </w:rPr>
        <w:t xml:space="preserve"> technology transfer </w:t>
      </w:r>
      <w:r w:rsidR="00A42FA5">
        <w:rPr>
          <w:sz w:val="22"/>
          <w:szCs w:val="22"/>
        </w:rPr>
        <w:t>(i.e.</w:t>
      </w:r>
      <w:r w:rsidR="00817B57" w:rsidRPr="0001061D">
        <w:rPr>
          <w:sz w:val="22"/>
          <w:szCs w:val="22"/>
        </w:rPr>
        <w:t xml:space="preserve"> intellectual property</w:t>
      </w:r>
      <w:r w:rsidR="00A42FA5">
        <w:rPr>
          <w:sz w:val="22"/>
          <w:szCs w:val="22"/>
        </w:rPr>
        <w:t>)</w:t>
      </w:r>
      <w:r w:rsidR="00817B57" w:rsidRPr="0001061D">
        <w:rPr>
          <w:sz w:val="22"/>
          <w:szCs w:val="22"/>
        </w:rPr>
        <w:t>, extraction machinery and processes, plantation seedlings, and quality control equipment, processes and expertise.</w:t>
      </w:r>
      <w:r w:rsidR="00817B57">
        <w:rPr>
          <w:sz w:val="22"/>
          <w:szCs w:val="22"/>
        </w:rPr>
        <w:t xml:space="preserve"> </w:t>
      </w:r>
      <w:r w:rsidR="00A42FA5" w:rsidRPr="0001061D">
        <w:rPr>
          <w:sz w:val="22"/>
          <w:szCs w:val="22"/>
        </w:rPr>
        <w:t>CIMTECH acquired three patents filed internationally covering the utilisation of particular plant extracts for therapeutic uses. All of CIMTECH activities relating to the access of the plant material are conducted in the Cook Islands using Cook Islanders and Cook Islands owned companies. The plantations are owned and maintained by the local landowners who are paid a high premium for the plant materials provided.</w:t>
      </w:r>
      <w:r w:rsidR="00A42FA5">
        <w:rPr>
          <w:sz w:val="22"/>
          <w:szCs w:val="22"/>
        </w:rPr>
        <w:t xml:space="preserve"> </w:t>
      </w:r>
      <w:r w:rsidR="00C90DD9" w:rsidRPr="0001061D">
        <w:rPr>
          <w:sz w:val="22"/>
          <w:szCs w:val="22"/>
        </w:rPr>
        <w:t xml:space="preserve">CIMTECH has spent over $2 Million developing the intellectual property and commercial outcomes relating to the genetic materials. </w:t>
      </w:r>
      <w:r w:rsidR="00A42FA5" w:rsidRPr="0001061D">
        <w:rPr>
          <w:sz w:val="22"/>
          <w:szCs w:val="22"/>
        </w:rPr>
        <w:t>The extraction facility is leased by CIMTECH in an improvements-for-lease arrangement, whereby CIMTECH constructed a dedicated facility to be owned by the Cook Islands landowner in return for a 10-year com</w:t>
      </w:r>
      <w:r w:rsidR="00A42FA5">
        <w:rPr>
          <w:sz w:val="22"/>
          <w:szCs w:val="22"/>
        </w:rPr>
        <w:t xml:space="preserve">mercial lease on the premises. </w:t>
      </w:r>
      <w:r w:rsidR="00A42FA5" w:rsidRPr="0001061D">
        <w:rPr>
          <w:sz w:val="22"/>
          <w:szCs w:val="22"/>
        </w:rPr>
        <w:t>CIMTECH has acquired and transferred to the Cook Islands the dedicated technology and machinery required for the extraction and st</w:t>
      </w:r>
      <w:r w:rsidR="00A42FA5">
        <w:rPr>
          <w:sz w:val="22"/>
          <w:szCs w:val="22"/>
        </w:rPr>
        <w:t xml:space="preserve">andardisation of the material. </w:t>
      </w:r>
      <w:r w:rsidR="00A42FA5" w:rsidRPr="0001061D">
        <w:rPr>
          <w:sz w:val="22"/>
          <w:szCs w:val="22"/>
        </w:rPr>
        <w:t xml:space="preserve">All Cook Islands operations are conducted for CIMTECH by a Cook Islands company: Matheson Enterprises. </w:t>
      </w:r>
      <w:r w:rsidR="00551859" w:rsidRPr="0001061D">
        <w:rPr>
          <w:sz w:val="22"/>
          <w:szCs w:val="22"/>
        </w:rPr>
        <w:t xml:space="preserve">The first commercial product arising from the access and benefit sharing arrangement - </w:t>
      </w:r>
      <w:proofErr w:type="spellStart"/>
      <w:r w:rsidR="00551859" w:rsidRPr="0001061D">
        <w:rPr>
          <w:sz w:val="22"/>
          <w:szCs w:val="22"/>
        </w:rPr>
        <w:t>TeTika</w:t>
      </w:r>
      <w:proofErr w:type="spellEnd"/>
      <w:r w:rsidR="00551859" w:rsidRPr="0001061D">
        <w:rPr>
          <w:sz w:val="22"/>
          <w:szCs w:val="22"/>
        </w:rPr>
        <w:t xml:space="preserve"> Skincare</w:t>
      </w:r>
      <w:r w:rsidR="00A42FA5">
        <w:rPr>
          <w:rStyle w:val="FootnoteReference"/>
          <w:sz w:val="22"/>
          <w:szCs w:val="22"/>
        </w:rPr>
        <w:footnoteReference w:id="15"/>
      </w:r>
      <w:r w:rsidR="00551859" w:rsidRPr="0001061D">
        <w:rPr>
          <w:sz w:val="22"/>
          <w:szCs w:val="22"/>
        </w:rPr>
        <w:t xml:space="preserve">, was launched in the Cook Islands in 2012. The direct monetary benefits from that program have resulted in over $400,000 for the Cook Islands economy since the program commenced in 2011, and is projected to contribute approximately $100,000 </w:t>
      </w:r>
      <w:r w:rsidR="00A42FA5">
        <w:rPr>
          <w:sz w:val="22"/>
          <w:szCs w:val="22"/>
        </w:rPr>
        <w:t>per year to the Cook Islands economy.</w:t>
      </w:r>
      <w:r w:rsidR="00551859" w:rsidRPr="0001061D">
        <w:rPr>
          <w:sz w:val="22"/>
          <w:szCs w:val="22"/>
        </w:rPr>
        <w:t xml:space="preserve"> </w:t>
      </w:r>
      <w:proofErr w:type="spellStart"/>
      <w:r w:rsidR="00551859" w:rsidRPr="0001061D">
        <w:rPr>
          <w:sz w:val="22"/>
          <w:szCs w:val="22"/>
        </w:rPr>
        <w:t>TeTika</w:t>
      </w:r>
      <w:proofErr w:type="spellEnd"/>
      <w:r w:rsidR="00551859" w:rsidRPr="0001061D">
        <w:rPr>
          <w:sz w:val="22"/>
          <w:szCs w:val="22"/>
        </w:rPr>
        <w:t xml:space="preserve"> product sales by CIMTECH rely on Bioactive Cook Islands oils produced in the Cook Islands, depending on the concentration, account for up to 16% of the value of CIMTECH sales returning to the Cook Islands.</w:t>
      </w:r>
    </w:p>
    <w:p w:rsidR="00C90DD9" w:rsidRPr="0001061D" w:rsidRDefault="00C90DD9" w:rsidP="00C90DD9">
      <w:pPr>
        <w:pStyle w:val="Footer"/>
        <w:spacing w:after="80"/>
        <w:jc w:val="both"/>
        <w:rPr>
          <w:sz w:val="22"/>
          <w:szCs w:val="22"/>
        </w:rPr>
      </w:pPr>
    </w:p>
    <w:p w:rsidR="00C73736" w:rsidRDefault="00F14C2C" w:rsidP="00606431">
      <w:pPr>
        <w:pStyle w:val="Footer"/>
        <w:spacing w:after="80"/>
        <w:jc w:val="both"/>
        <w:rPr>
          <w:sz w:val="22"/>
          <w:szCs w:val="22"/>
        </w:rPr>
      </w:pPr>
      <w:r w:rsidRPr="009353E3">
        <w:rPr>
          <w:b/>
          <w:sz w:val="22"/>
          <w:szCs w:val="22"/>
        </w:rPr>
        <w:t>Long-term Solution:</w:t>
      </w:r>
      <w:r>
        <w:rPr>
          <w:sz w:val="22"/>
          <w:szCs w:val="22"/>
        </w:rPr>
        <w:t xml:space="preserve"> In order to safeguard the Cook Islands’</w:t>
      </w:r>
      <w:r w:rsidR="00597CB6">
        <w:rPr>
          <w:sz w:val="22"/>
          <w:szCs w:val="22"/>
        </w:rPr>
        <w:t xml:space="preserve"> </w:t>
      </w:r>
      <w:r>
        <w:rPr>
          <w:sz w:val="22"/>
          <w:szCs w:val="22"/>
        </w:rPr>
        <w:t xml:space="preserve">diverse genetic resources, the potential of genetic resources must generate tangible local and national economic benefits. The benefits will be in the form of business, employment and capacity building opportunities, through the discovery of new </w:t>
      </w:r>
      <w:r w:rsidR="00CD32FE">
        <w:rPr>
          <w:sz w:val="22"/>
          <w:szCs w:val="22"/>
        </w:rPr>
        <w:t>medicines,</w:t>
      </w:r>
      <w:r>
        <w:rPr>
          <w:sz w:val="22"/>
          <w:szCs w:val="22"/>
        </w:rPr>
        <w:t xml:space="preserve"> thereby providing a rationale for the preservation of the biological resources that contain the genetic material. This will present a paradigm shift from the situation described above, to one in which biodiversity-rich nations such as the Cook Islands are fully and equitably involved in this lucrative research process with the primary goal of promoting people-centric conservation and sustainable use. </w:t>
      </w:r>
    </w:p>
    <w:p w:rsidR="009353E3" w:rsidRDefault="009353E3" w:rsidP="00606431">
      <w:pPr>
        <w:pStyle w:val="Footer"/>
        <w:spacing w:after="80"/>
        <w:jc w:val="both"/>
        <w:rPr>
          <w:sz w:val="22"/>
          <w:szCs w:val="22"/>
        </w:rPr>
      </w:pPr>
      <w:r w:rsidRPr="00997888">
        <w:rPr>
          <w:b/>
          <w:sz w:val="22"/>
          <w:szCs w:val="22"/>
        </w:rPr>
        <w:t xml:space="preserve">Barriers: </w:t>
      </w:r>
      <w:r>
        <w:rPr>
          <w:sz w:val="22"/>
          <w:szCs w:val="22"/>
        </w:rPr>
        <w:t>The achievement of the solution proposed above, however, has to date been impeded by a number of barriers:</w:t>
      </w:r>
    </w:p>
    <w:tbl>
      <w:tblPr>
        <w:tblStyle w:val="TableGrid"/>
        <w:tblW w:w="0" w:type="auto"/>
        <w:tblLook w:val="04A0" w:firstRow="1" w:lastRow="0" w:firstColumn="1" w:lastColumn="0" w:noHBand="0" w:noVBand="1"/>
      </w:tblPr>
      <w:tblGrid>
        <w:gridCol w:w="1638"/>
        <w:gridCol w:w="9378"/>
      </w:tblGrid>
      <w:tr w:rsidR="006E0CCD" w:rsidTr="00326F5D">
        <w:tc>
          <w:tcPr>
            <w:tcW w:w="1638" w:type="dxa"/>
          </w:tcPr>
          <w:p w:rsidR="006E0CCD" w:rsidRPr="009353E3" w:rsidRDefault="006E0CCD" w:rsidP="009353E3">
            <w:pPr>
              <w:pStyle w:val="Footer"/>
              <w:spacing w:after="80"/>
              <w:rPr>
                <w:sz w:val="22"/>
                <w:szCs w:val="22"/>
              </w:rPr>
            </w:pPr>
            <w:r>
              <w:rPr>
                <w:sz w:val="22"/>
                <w:szCs w:val="22"/>
              </w:rPr>
              <w:t>Weak National Regulatory and Institutional Framework on ABS</w:t>
            </w:r>
          </w:p>
        </w:tc>
        <w:tc>
          <w:tcPr>
            <w:tcW w:w="9378" w:type="dxa"/>
          </w:tcPr>
          <w:p w:rsidR="0060658F" w:rsidRDefault="006E0CCD" w:rsidP="00A85EB5">
            <w:pPr>
              <w:pStyle w:val="Footer"/>
              <w:spacing w:after="80"/>
              <w:jc w:val="both"/>
              <w:rPr>
                <w:sz w:val="22"/>
                <w:szCs w:val="22"/>
              </w:rPr>
            </w:pPr>
            <w:r>
              <w:rPr>
                <w:sz w:val="22"/>
                <w:szCs w:val="22"/>
              </w:rPr>
              <w:t xml:space="preserve">Although the Cook Islands enacted the Biological Research and Benefits Bill in 2006, </w:t>
            </w:r>
            <w:r w:rsidR="00543EFB">
              <w:rPr>
                <w:sz w:val="22"/>
                <w:szCs w:val="22"/>
              </w:rPr>
              <w:t xml:space="preserve">it has yet not ratified the Nagoya protocol. This is partly due to a lack of knowledge of the Cook </w:t>
            </w:r>
            <w:r w:rsidR="00A85EB5">
              <w:rPr>
                <w:sz w:val="22"/>
                <w:szCs w:val="22"/>
              </w:rPr>
              <w:t>Islands</w:t>
            </w:r>
            <w:r w:rsidR="00543EFB">
              <w:rPr>
                <w:sz w:val="22"/>
                <w:szCs w:val="22"/>
              </w:rPr>
              <w:t xml:space="preserve"> legislature, especially the Parliament (including the House of </w:t>
            </w:r>
            <w:proofErr w:type="spellStart"/>
            <w:r w:rsidR="00543EFB">
              <w:rPr>
                <w:sz w:val="22"/>
                <w:szCs w:val="22"/>
              </w:rPr>
              <w:t>Ariki</w:t>
            </w:r>
            <w:proofErr w:type="spellEnd"/>
            <w:r w:rsidR="00543EFB">
              <w:rPr>
                <w:sz w:val="22"/>
                <w:szCs w:val="22"/>
              </w:rPr>
              <w:t xml:space="preserve">) and the National Research </w:t>
            </w:r>
            <w:r w:rsidR="00A85EB5">
              <w:rPr>
                <w:sz w:val="22"/>
                <w:szCs w:val="22"/>
              </w:rPr>
              <w:t>Committee,</w:t>
            </w:r>
            <w:r w:rsidR="00543EFB">
              <w:rPr>
                <w:sz w:val="22"/>
                <w:szCs w:val="22"/>
              </w:rPr>
              <w:t xml:space="preserve"> on the benefits for the country in ratifying the Nagoya Protocol. </w:t>
            </w:r>
            <w:r w:rsidR="00A85EB5">
              <w:rPr>
                <w:bCs/>
                <w:sz w:val="22"/>
                <w:szCs w:val="22"/>
              </w:rPr>
              <w:t xml:space="preserve">The concept of ABS is relatively new to the Cook Islands however it is an issue of some importance given the close and traditional dependence of the Cook Islands people on local biological resources. </w:t>
            </w:r>
            <w:r w:rsidR="00543EFB">
              <w:rPr>
                <w:sz w:val="22"/>
                <w:szCs w:val="22"/>
              </w:rPr>
              <w:t xml:space="preserve">Further, </w:t>
            </w:r>
            <w:r w:rsidR="004D0309">
              <w:rPr>
                <w:sz w:val="22"/>
                <w:szCs w:val="22"/>
              </w:rPr>
              <w:t xml:space="preserve">progress has been somewhat slow </w:t>
            </w:r>
            <w:r w:rsidR="00543EFB">
              <w:rPr>
                <w:sz w:val="22"/>
                <w:szCs w:val="22"/>
              </w:rPr>
              <w:t xml:space="preserve">since the enactment of the Bill due </w:t>
            </w:r>
            <w:r w:rsidR="004D0309">
              <w:rPr>
                <w:sz w:val="22"/>
                <w:szCs w:val="22"/>
              </w:rPr>
              <w:t xml:space="preserve">to the suboptimal institutional framework for implementation, and an absence of clear rules and regulations for implementation of the </w:t>
            </w:r>
            <w:r w:rsidR="00A85EB5">
              <w:rPr>
                <w:sz w:val="22"/>
                <w:szCs w:val="22"/>
              </w:rPr>
              <w:t>Bill, such as a system of prior informed consent</w:t>
            </w:r>
            <w:r w:rsidR="004D0309">
              <w:rPr>
                <w:sz w:val="22"/>
                <w:szCs w:val="22"/>
              </w:rPr>
              <w:t xml:space="preserve">. </w:t>
            </w:r>
            <w:r w:rsidR="00543EFB">
              <w:rPr>
                <w:sz w:val="22"/>
                <w:szCs w:val="22"/>
              </w:rPr>
              <w:t xml:space="preserve">There is also a need to review the Bill in line with Nagoya Protocol. </w:t>
            </w:r>
            <w:r w:rsidR="00543EFB" w:rsidRPr="00F0136D">
              <w:rPr>
                <w:bCs/>
                <w:sz w:val="22"/>
                <w:szCs w:val="22"/>
              </w:rPr>
              <w:t>The Cook Islands also has a National Re</w:t>
            </w:r>
            <w:r w:rsidR="00543EFB">
              <w:rPr>
                <w:bCs/>
                <w:sz w:val="22"/>
                <w:szCs w:val="22"/>
              </w:rPr>
              <w:t>search Policy clearly outlining</w:t>
            </w:r>
            <w:r w:rsidR="00543EFB" w:rsidRPr="00F0136D">
              <w:rPr>
                <w:bCs/>
                <w:sz w:val="22"/>
                <w:szCs w:val="22"/>
              </w:rPr>
              <w:t xml:space="preserve"> the National Research Committee </w:t>
            </w:r>
            <w:r w:rsidR="00A85EB5">
              <w:rPr>
                <w:bCs/>
                <w:sz w:val="22"/>
                <w:szCs w:val="22"/>
              </w:rPr>
              <w:t xml:space="preserve">responsibility in research approval </w:t>
            </w:r>
            <w:r w:rsidR="00543EFB">
              <w:rPr>
                <w:bCs/>
                <w:sz w:val="22"/>
                <w:szCs w:val="22"/>
              </w:rPr>
              <w:t xml:space="preserve">and </w:t>
            </w:r>
            <w:r w:rsidR="00A85EB5">
              <w:rPr>
                <w:bCs/>
                <w:sz w:val="22"/>
                <w:szCs w:val="22"/>
              </w:rPr>
              <w:t xml:space="preserve">outlining </w:t>
            </w:r>
            <w:r w:rsidR="00543EFB">
              <w:rPr>
                <w:bCs/>
                <w:sz w:val="22"/>
                <w:szCs w:val="22"/>
              </w:rPr>
              <w:t xml:space="preserve">the Research permit process. The national administrative processes for issuing ABS license, negotiating and enforcing agreements have not been fully clarified and key stakeholders remain unaware of their roles in promoting </w:t>
            </w:r>
            <w:r w:rsidR="00543EFB" w:rsidRPr="00A85EB5">
              <w:rPr>
                <w:bCs/>
                <w:sz w:val="22"/>
                <w:szCs w:val="22"/>
              </w:rPr>
              <w:t>ABS.</w:t>
            </w:r>
            <w:r w:rsidR="00A85EB5" w:rsidRPr="00A85EB5">
              <w:rPr>
                <w:bCs/>
                <w:sz w:val="22"/>
                <w:szCs w:val="22"/>
              </w:rPr>
              <w:t xml:space="preserve"> Little is known about research activities that access biological resources after they have received their research approval and there is limited capacity to monitor these activities in-country. There is no means of enforcement of the requirements of the approved permit, especially once the researchers have left the country.</w:t>
            </w:r>
          </w:p>
        </w:tc>
      </w:tr>
      <w:tr w:rsidR="009353E3" w:rsidTr="00326F5D">
        <w:tc>
          <w:tcPr>
            <w:tcW w:w="1638" w:type="dxa"/>
          </w:tcPr>
          <w:p w:rsidR="009353E3" w:rsidRPr="009353E3" w:rsidRDefault="009353E3" w:rsidP="009353E3">
            <w:pPr>
              <w:pStyle w:val="Footer"/>
              <w:spacing w:after="80"/>
              <w:rPr>
                <w:sz w:val="22"/>
                <w:szCs w:val="22"/>
              </w:rPr>
            </w:pPr>
            <w:r w:rsidRPr="009353E3">
              <w:rPr>
                <w:sz w:val="22"/>
                <w:szCs w:val="22"/>
              </w:rPr>
              <w:t xml:space="preserve">Limited national technical capacities and awareness to maximize benefits from the nation’s genetic </w:t>
            </w:r>
            <w:r w:rsidRPr="009353E3">
              <w:rPr>
                <w:sz w:val="22"/>
                <w:szCs w:val="22"/>
              </w:rPr>
              <w:lastRenderedPageBreak/>
              <w:t>resources</w:t>
            </w:r>
          </w:p>
        </w:tc>
        <w:tc>
          <w:tcPr>
            <w:tcW w:w="9378" w:type="dxa"/>
          </w:tcPr>
          <w:p w:rsidR="0088383B" w:rsidRDefault="002F0711" w:rsidP="0006257A">
            <w:pPr>
              <w:pStyle w:val="Footer"/>
              <w:spacing w:after="80"/>
              <w:jc w:val="both"/>
              <w:rPr>
                <w:sz w:val="22"/>
                <w:szCs w:val="22"/>
              </w:rPr>
            </w:pPr>
            <w:r w:rsidRPr="002F0711">
              <w:rPr>
                <w:sz w:val="22"/>
                <w:szCs w:val="22"/>
              </w:rPr>
              <w:lastRenderedPageBreak/>
              <w:t xml:space="preserve">Poor management of traditional knowledge and practices (TKP) related to customary use of biological resources in the Cook Islands is a major gap. Understanding of TKP in the Cook Islands is usually limited to local practitioners such as </w:t>
            </w:r>
            <w:proofErr w:type="spellStart"/>
            <w:r w:rsidRPr="003370E6">
              <w:rPr>
                <w:i/>
                <w:sz w:val="22"/>
                <w:szCs w:val="22"/>
              </w:rPr>
              <w:t>ta’unga</w:t>
            </w:r>
            <w:proofErr w:type="spellEnd"/>
            <w:r w:rsidRPr="002F0711">
              <w:rPr>
                <w:sz w:val="22"/>
                <w:szCs w:val="22"/>
              </w:rPr>
              <w:t xml:space="preserve"> (traditional healers), many of whom are reluctant to share their</w:t>
            </w:r>
            <w:r w:rsidR="003370E6">
              <w:rPr>
                <w:sz w:val="22"/>
                <w:szCs w:val="22"/>
              </w:rPr>
              <w:t xml:space="preserve"> knowledge of BD species used in </w:t>
            </w:r>
            <w:r w:rsidRPr="002F0711">
              <w:rPr>
                <w:sz w:val="22"/>
                <w:szCs w:val="22"/>
              </w:rPr>
              <w:t>traditional medicine due to fear of misuse and abuse by others. Oral history and records have been traditionally relied on to preserve knowledge however this can lead to loss of valuable information if this knowledge is not passed on. Programmes or attempts to record traditional knowledge ha</w:t>
            </w:r>
            <w:r w:rsidR="003370E6">
              <w:rPr>
                <w:sz w:val="22"/>
                <w:szCs w:val="22"/>
              </w:rPr>
              <w:t xml:space="preserve">ve been inconsistent and ad hoc, leading to a major need to document traditional knowledge as well as on-going bio-prospecting research. </w:t>
            </w:r>
            <w:r w:rsidR="009353E3">
              <w:rPr>
                <w:sz w:val="22"/>
                <w:szCs w:val="22"/>
              </w:rPr>
              <w:t xml:space="preserve">The Cook Islands is one of the few nations in the Pacific that has actually implemented a project on access and benefit sharing, which has led to the marketing of a skin care product derived from a chemical from a plant. However, the country </w:t>
            </w:r>
            <w:r w:rsidR="009353E3">
              <w:rPr>
                <w:sz w:val="22"/>
                <w:szCs w:val="22"/>
              </w:rPr>
              <w:lastRenderedPageBreak/>
              <w:t>has not been able to build on this success due to limited local research and development capacities</w:t>
            </w:r>
            <w:r w:rsidR="006730F0">
              <w:rPr>
                <w:sz w:val="22"/>
                <w:szCs w:val="22"/>
              </w:rPr>
              <w:t xml:space="preserve"> (capacity limitations in terms of human, technical, </w:t>
            </w:r>
            <w:r>
              <w:rPr>
                <w:sz w:val="22"/>
                <w:szCs w:val="22"/>
              </w:rPr>
              <w:t>financial and infrastructure</w:t>
            </w:r>
            <w:r w:rsidR="006730F0">
              <w:rPr>
                <w:sz w:val="22"/>
                <w:szCs w:val="22"/>
              </w:rPr>
              <w:t xml:space="preserve"> resources)</w:t>
            </w:r>
            <w:r w:rsidR="009353E3">
              <w:rPr>
                <w:sz w:val="22"/>
                <w:szCs w:val="22"/>
              </w:rPr>
              <w:t xml:space="preserve">. This has meant that further potential for replicating the past success has been extremely limited till date. This has also led to no further development of value chain of potential products to maximize the economic potential of genetic resources in the nation and to link them to both biodiversity conservation and sustainable use, and also for the economic benefits of local communities and the country as whole. </w:t>
            </w:r>
            <w:r w:rsidR="0042519C">
              <w:rPr>
                <w:sz w:val="22"/>
                <w:szCs w:val="22"/>
              </w:rPr>
              <w:t xml:space="preserve">There is an urgent need to strengthen the institutional set up </w:t>
            </w:r>
            <w:r w:rsidR="000E177D">
              <w:rPr>
                <w:sz w:val="22"/>
                <w:szCs w:val="22"/>
              </w:rPr>
              <w:t>of the B</w:t>
            </w:r>
            <w:r w:rsidR="0042519C">
              <w:rPr>
                <w:sz w:val="22"/>
                <w:szCs w:val="22"/>
              </w:rPr>
              <w:t xml:space="preserve">U and individual capacity to enable better implementation of the ABS policy, ensuring sufficient competence for monitoring bioprospecting projects and facilitate value addition to biological resources in the country. There is a need for accelerating documentation of traditional knowledge (TK) associated with genetic resources, in order to ensure that an adequate PIC process will be conducted and NES will be assured that the holders of TK will be able to derive tangible and fair benefits from the ABS deals. </w:t>
            </w:r>
            <w:r w:rsidR="009353E3">
              <w:rPr>
                <w:sz w:val="22"/>
                <w:szCs w:val="22"/>
              </w:rPr>
              <w:t>Similarly, although many local community members are aware of the past ABS project, they also do not have full understanding on the options and opportunities to maximize local benefits through ABS and are not aware on the Nagoya Protocol provisions that require ensuring free prior informed consent and equitable sharing of benefits.</w:t>
            </w:r>
            <w:r w:rsidR="002830DD">
              <w:rPr>
                <w:sz w:val="22"/>
                <w:szCs w:val="22"/>
              </w:rPr>
              <w:t xml:space="preserve"> There is also a clear need for bio</w:t>
            </w:r>
            <w:r w:rsidR="00226961">
              <w:rPr>
                <w:sz w:val="22"/>
                <w:szCs w:val="22"/>
              </w:rPr>
              <w:t>pro</w:t>
            </w:r>
            <w:r w:rsidR="002830DD">
              <w:rPr>
                <w:sz w:val="22"/>
                <w:szCs w:val="22"/>
              </w:rPr>
              <w:t xml:space="preserve">specting work to be directly linked to biodiversity conservation work in line with </w:t>
            </w:r>
            <w:r w:rsidR="00226961">
              <w:rPr>
                <w:sz w:val="22"/>
                <w:szCs w:val="22"/>
              </w:rPr>
              <w:t>objective one of the Convention on Bio</w:t>
            </w:r>
            <w:r w:rsidR="0006257A">
              <w:rPr>
                <w:sz w:val="22"/>
                <w:szCs w:val="22"/>
              </w:rPr>
              <w:t>logical Diversity namely the conservation of biodiversity</w:t>
            </w:r>
            <w:r w:rsidR="00226961">
              <w:rPr>
                <w:sz w:val="22"/>
                <w:szCs w:val="22"/>
              </w:rPr>
              <w:t xml:space="preserve">. </w:t>
            </w:r>
          </w:p>
        </w:tc>
      </w:tr>
      <w:tr w:rsidR="009353E3" w:rsidTr="00326F5D">
        <w:tc>
          <w:tcPr>
            <w:tcW w:w="1638" w:type="dxa"/>
          </w:tcPr>
          <w:p w:rsidR="009353E3" w:rsidRPr="009353E3" w:rsidRDefault="0042519C" w:rsidP="009353E3">
            <w:pPr>
              <w:pStyle w:val="Footer"/>
              <w:spacing w:after="80"/>
              <w:rPr>
                <w:sz w:val="22"/>
                <w:szCs w:val="22"/>
              </w:rPr>
            </w:pPr>
            <w:r>
              <w:rPr>
                <w:sz w:val="22"/>
                <w:szCs w:val="22"/>
              </w:rPr>
              <w:lastRenderedPageBreak/>
              <w:t xml:space="preserve">Limited </w:t>
            </w:r>
            <w:r w:rsidR="00FF5992">
              <w:rPr>
                <w:sz w:val="22"/>
                <w:szCs w:val="22"/>
              </w:rPr>
              <w:t xml:space="preserve">in-country scientific research capacity and </w:t>
            </w:r>
            <w:r>
              <w:rPr>
                <w:sz w:val="22"/>
                <w:szCs w:val="22"/>
              </w:rPr>
              <w:t>experience with the negotiation and implementation of ABS agreements</w:t>
            </w:r>
          </w:p>
        </w:tc>
        <w:tc>
          <w:tcPr>
            <w:tcW w:w="9378" w:type="dxa"/>
          </w:tcPr>
          <w:p w:rsidR="00DE47B4" w:rsidRPr="00EE5207" w:rsidRDefault="0042519C" w:rsidP="00034CDA">
            <w:pPr>
              <w:pStyle w:val="Footer"/>
              <w:spacing w:after="80"/>
              <w:jc w:val="both"/>
              <w:rPr>
                <w:sz w:val="22"/>
                <w:szCs w:val="22"/>
              </w:rPr>
            </w:pPr>
            <w:r w:rsidRPr="00EE5207">
              <w:rPr>
                <w:bCs/>
                <w:sz w:val="22"/>
                <w:szCs w:val="22"/>
              </w:rPr>
              <w:t xml:space="preserve">There is currently one bioprospecting </w:t>
            </w:r>
            <w:r w:rsidR="005D42AD" w:rsidRPr="00EE5207">
              <w:rPr>
                <w:bCs/>
                <w:sz w:val="22"/>
                <w:szCs w:val="22"/>
              </w:rPr>
              <w:t>activity</w:t>
            </w:r>
            <w:r w:rsidRPr="00EE5207">
              <w:rPr>
                <w:bCs/>
                <w:sz w:val="22"/>
                <w:szCs w:val="22"/>
              </w:rPr>
              <w:t xml:space="preserve"> on-going and the </w:t>
            </w:r>
            <w:r w:rsidR="005D42AD" w:rsidRPr="00EE5207">
              <w:rPr>
                <w:bCs/>
                <w:sz w:val="22"/>
                <w:szCs w:val="22"/>
              </w:rPr>
              <w:t>company</w:t>
            </w:r>
            <w:r w:rsidRPr="00EE5207">
              <w:rPr>
                <w:bCs/>
                <w:sz w:val="22"/>
                <w:szCs w:val="22"/>
              </w:rPr>
              <w:t xml:space="preserve"> </w:t>
            </w:r>
            <w:r w:rsidR="005D42AD" w:rsidRPr="00EE5207">
              <w:rPr>
                <w:bCs/>
                <w:sz w:val="22"/>
                <w:szCs w:val="22"/>
              </w:rPr>
              <w:t xml:space="preserve">(CIMTECH) </w:t>
            </w:r>
            <w:r w:rsidRPr="00EE5207">
              <w:rPr>
                <w:bCs/>
                <w:sz w:val="22"/>
                <w:szCs w:val="22"/>
              </w:rPr>
              <w:t xml:space="preserve">has entered a formal agreement in accessing the traditional knowledge with the </w:t>
            </w:r>
            <w:proofErr w:type="spellStart"/>
            <w:r w:rsidR="005D42AD" w:rsidRPr="00EE5207">
              <w:rPr>
                <w:bCs/>
                <w:i/>
                <w:sz w:val="22"/>
                <w:szCs w:val="22"/>
              </w:rPr>
              <w:t>Koutu</w:t>
            </w:r>
            <w:proofErr w:type="spellEnd"/>
            <w:r w:rsidR="005D42AD" w:rsidRPr="00EE5207">
              <w:rPr>
                <w:bCs/>
                <w:i/>
                <w:sz w:val="22"/>
                <w:szCs w:val="22"/>
              </w:rPr>
              <w:t xml:space="preserve"> Nui</w:t>
            </w:r>
            <w:r w:rsidR="005D42AD" w:rsidRPr="00EE5207">
              <w:rPr>
                <w:bCs/>
                <w:sz w:val="22"/>
                <w:szCs w:val="22"/>
              </w:rPr>
              <w:t xml:space="preserve">. </w:t>
            </w:r>
            <w:r w:rsidR="00034CDA">
              <w:rPr>
                <w:bCs/>
                <w:sz w:val="22"/>
                <w:szCs w:val="22"/>
              </w:rPr>
              <w:t>However</w:t>
            </w:r>
            <w:r w:rsidR="00034CDA" w:rsidRPr="00EE5207">
              <w:rPr>
                <w:bCs/>
                <w:sz w:val="22"/>
                <w:szCs w:val="22"/>
              </w:rPr>
              <w:t xml:space="preserve">, in order to maximise the national benefits from ABS agreements, extraction facilities should be </w:t>
            </w:r>
            <w:r w:rsidR="00034CDA">
              <w:rPr>
                <w:bCs/>
                <w:sz w:val="22"/>
                <w:szCs w:val="22"/>
              </w:rPr>
              <w:t>placed in-country. There</w:t>
            </w:r>
            <w:r w:rsidR="00034CDA" w:rsidRPr="00EE5207">
              <w:rPr>
                <w:bCs/>
                <w:sz w:val="22"/>
                <w:szCs w:val="22"/>
              </w:rPr>
              <w:t xml:space="preserve"> is a need for the extracted chemicals that are exported to have standard documentation detailing the chemical nature of the products. The inability to provide such documentation places severe limits on the acceptability of extracted material in the international market. The alternative is to export raw plant material, and the associated risk of nutrient loss, and the loss of the major value added component of the supply chain. The refined product must also have safety and toxicology data to inform the safe handling and transport of material. The Cook Islands does not have the expertise or capacity to perform these tests currently. In the implementation of ABS agreements, the possible negative effects of the commercialisation of extract of a native plant should also be considered. There is a clear need to establish the scientific basis for the monitoring and control of the harvesting of the plant species at the outset. This allows for a more targeted and sustainable approach to supply and sustainability of the value chain, reducing guesswork and improving the acceptance of all environmental controls. A well designed and internationally acknowledged certification processes that will allow the product to be identified as compliant with the Nagoya Protocol is needed. Cook Islands cultural requirements, environmental standards and sustainability and high quality end product will allow the product to reach market with minimum of additional barriers in the export jurisdiction.</w:t>
            </w:r>
            <w:r w:rsidR="00034CDA">
              <w:rPr>
                <w:bCs/>
                <w:sz w:val="22"/>
                <w:szCs w:val="22"/>
              </w:rPr>
              <w:t xml:space="preserve"> Further</w:t>
            </w:r>
            <w:r w:rsidR="005D42AD" w:rsidRPr="00EE5207">
              <w:rPr>
                <w:bCs/>
                <w:sz w:val="22"/>
                <w:szCs w:val="22"/>
              </w:rPr>
              <w:t>, given the new nature of the topic a</w:t>
            </w:r>
            <w:r w:rsidR="00FE5F99">
              <w:rPr>
                <w:bCs/>
                <w:sz w:val="22"/>
                <w:szCs w:val="22"/>
              </w:rPr>
              <w:t>nd inadequate capacity of the B</w:t>
            </w:r>
            <w:r w:rsidR="005D42AD" w:rsidRPr="00EE5207">
              <w:rPr>
                <w:bCs/>
                <w:sz w:val="22"/>
                <w:szCs w:val="22"/>
              </w:rPr>
              <w:t>U and stakeholders, there is limited expertise in actually developing ABS agreements that are fully compliant with the Nagoya Protocol. Without model agreements and realisation of actual benefits to the country and concerned communities which can be replicated and up-scaled, the progress of advancing the ABS agenda in the country will remain slow.</w:t>
            </w:r>
            <w:r w:rsidR="002F0711" w:rsidRPr="00EE5207">
              <w:rPr>
                <w:bCs/>
                <w:sz w:val="22"/>
                <w:szCs w:val="22"/>
              </w:rPr>
              <w:t xml:space="preserve"> </w:t>
            </w:r>
          </w:p>
        </w:tc>
      </w:tr>
    </w:tbl>
    <w:p w:rsidR="00B12997" w:rsidRPr="0001061D" w:rsidRDefault="00B12997" w:rsidP="00606431">
      <w:pPr>
        <w:pStyle w:val="Footer"/>
        <w:spacing w:after="80"/>
        <w:jc w:val="both"/>
        <w:rPr>
          <w:sz w:val="22"/>
          <w:szCs w:val="22"/>
        </w:rPr>
      </w:pPr>
    </w:p>
    <w:p w:rsidR="00C73736" w:rsidRPr="0001061D" w:rsidRDefault="00E7482D" w:rsidP="00606431">
      <w:pPr>
        <w:pStyle w:val="Footer"/>
        <w:spacing w:after="80"/>
        <w:jc w:val="both"/>
        <w:rPr>
          <w:b/>
          <w:bCs/>
          <w:sz w:val="22"/>
          <w:szCs w:val="22"/>
          <w:u w:val="single"/>
        </w:rPr>
      </w:pPr>
      <w:r w:rsidRPr="0001061D">
        <w:rPr>
          <w:b/>
          <w:bCs/>
          <w:sz w:val="22"/>
          <w:szCs w:val="22"/>
          <w:u w:val="single"/>
        </w:rPr>
        <w:t>A.1.2 the baseline scenario and any associated baseline</w:t>
      </w:r>
    </w:p>
    <w:p w:rsidR="00EF5FB4" w:rsidRDefault="00E72236" w:rsidP="00606431">
      <w:pPr>
        <w:pStyle w:val="Footer"/>
        <w:spacing w:after="80"/>
        <w:jc w:val="both"/>
        <w:rPr>
          <w:sz w:val="22"/>
          <w:szCs w:val="22"/>
        </w:rPr>
      </w:pPr>
      <w:r w:rsidRPr="00E72236">
        <w:rPr>
          <w:sz w:val="22"/>
          <w:szCs w:val="22"/>
          <w:u w:val="single"/>
        </w:rPr>
        <w:t>Biodiversity Conservation:</w:t>
      </w:r>
      <w:r>
        <w:rPr>
          <w:sz w:val="22"/>
          <w:szCs w:val="22"/>
        </w:rPr>
        <w:t xml:space="preserve"> </w:t>
      </w:r>
    </w:p>
    <w:p w:rsidR="009032FB" w:rsidRPr="00193942" w:rsidRDefault="0006270D" w:rsidP="009032FB">
      <w:pPr>
        <w:pStyle w:val="Footer"/>
        <w:spacing w:after="80"/>
        <w:jc w:val="both"/>
        <w:rPr>
          <w:sz w:val="22"/>
          <w:szCs w:val="22"/>
        </w:rPr>
      </w:pPr>
      <w:r>
        <w:rPr>
          <w:sz w:val="22"/>
          <w:szCs w:val="22"/>
        </w:rPr>
        <w:t xml:space="preserve">The Cook Island Government annually invests around </w:t>
      </w:r>
      <w:r w:rsidR="00C90DD9">
        <w:rPr>
          <w:sz w:val="22"/>
          <w:szCs w:val="22"/>
        </w:rPr>
        <w:t xml:space="preserve">US$ </w:t>
      </w:r>
      <w:r>
        <w:rPr>
          <w:sz w:val="22"/>
          <w:szCs w:val="22"/>
        </w:rPr>
        <w:t xml:space="preserve">53 million in all sectors of the Government. The current baseline investment by the national Government into environment management related actions with a bearing on </w:t>
      </w:r>
      <w:r w:rsidRPr="00193942">
        <w:rPr>
          <w:sz w:val="22"/>
          <w:szCs w:val="22"/>
        </w:rPr>
        <w:t>biodiversity totals at least US$ 1</w:t>
      </w:r>
      <w:r w:rsidR="00FC66BD" w:rsidRPr="00193942">
        <w:rPr>
          <w:sz w:val="22"/>
          <w:szCs w:val="22"/>
        </w:rPr>
        <w:t>2</w:t>
      </w:r>
      <w:r w:rsidRPr="00193942">
        <w:rPr>
          <w:sz w:val="22"/>
          <w:szCs w:val="22"/>
        </w:rPr>
        <w:t xml:space="preserve"> million over the planned </w:t>
      </w:r>
      <w:r w:rsidR="00FC66BD" w:rsidRPr="00193942">
        <w:rPr>
          <w:sz w:val="22"/>
          <w:szCs w:val="22"/>
        </w:rPr>
        <w:t xml:space="preserve">project period. This includes Government investment </w:t>
      </w:r>
      <w:r w:rsidR="00B44F9F" w:rsidRPr="00193942">
        <w:rPr>
          <w:sz w:val="22"/>
          <w:szCs w:val="22"/>
        </w:rPr>
        <w:t xml:space="preserve">through the National Environmental Service of approximately US$ 0.8 million per annum to incorporate biodiversity management in national and </w:t>
      </w:r>
      <w:proofErr w:type="spellStart"/>
      <w:r w:rsidR="00B44F9F" w:rsidRPr="00193942">
        <w:rPr>
          <w:sz w:val="22"/>
          <w:szCs w:val="22"/>
        </w:rPr>
        <w:t>sectoral</w:t>
      </w:r>
      <w:proofErr w:type="spellEnd"/>
      <w:r w:rsidR="00B44F9F" w:rsidRPr="00193942">
        <w:rPr>
          <w:sz w:val="22"/>
          <w:szCs w:val="22"/>
        </w:rPr>
        <w:t xml:space="preserve"> policies and planning processes and promoting </w:t>
      </w:r>
      <w:r w:rsidR="00F25BFA" w:rsidRPr="00193942">
        <w:rPr>
          <w:sz w:val="22"/>
          <w:szCs w:val="22"/>
        </w:rPr>
        <w:t>and enhancing community partici</w:t>
      </w:r>
      <w:r w:rsidR="00B44F9F" w:rsidRPr="00193942">
        <w:rPr>
          <w:sz w:val="22"/>
          <w:szCs w:val="22"/>
        </w:rPr>
        <w:t xml:space="preserve">pation and actions to help conserve biodiversity. Additionally, the Ministry of Marine Resources invests US$ 1 million annually on the monitoring and control of illegal practices in its marine areas, on the implementation of the Cook Islands Lagoon Monitoring Programme (which includes water quality monitoring in </w:t>
      </w:r>
      <w:proofErr w:type="spellStart"/>
      <w:r w:rsidR="00B44F9F" w:rsidRPr="00193942">
        <w:rPr>
          <w:sz w:val="22"/>
          <w:szCs w:val="22"/>
        </w:rPr>
        <w:t>Rarotonga</w:t>
      </w:r>
      <w:proofErr w:type="spellEnd"/>
      <w:r w:rsidR="00B44F9F" w:rsidRPr="00193942">
        <w:rPr>
          <w:sz w:val="22"/>
          <w:szCs w:val="22"/>
        </w:rPr>
        <w:t xml:space="preserve">, </w:t>
      </w:r>
      <w:proofErr w:type="spellStart"/>
      <w:r w:rsidR="00B44F9F" w:rsidRPr="00193942">
        <w:rPr>
          <w:sz w:val="22"/>
          <w:szCs w:val="22"/>
        </w:rPr>
        <w:t>Aitutaki</w:t>
      </w:r>
      <w:proofErr w:type="spellEnd"/>
      <w:r w:rsidR="00B44F9F" w:rsidRPr="00193942">
        <w:rPr>
          <w:sz w:val="22"/>
          <w:szCs w:val="22"/>
        </w:rPr>
        <w:t xml:space="preserve"> and </w:t>
      </w:r>
      <w:proofErr w:type="spellStart"/>
      <w:r w:rsidR="00B44F9F" w:rsidRPr="00193942">
        <w:rPr>
          <w:sz w:val="22"/>
          <w:szCs w:val="22"/>
        </w:rPr>
        <w:t>Manihiki</w:t>
      </w:r>
      <w:proofErr w:type="spellEnd"/>
      <w:r w:rsidR="00B44F9F" w:rsidRPr="00193942">
        <w:rPr>
          <w:sz w:val="22"/>
          <w:szCs w:val="22"/>
        </w:rPr>
        <w:t xml:space="preserve">) and on education and public awareness programme on marine </w:t>
      </w:r>
      <w:r w:rsidR="00C04B6C" w:rsidRPr="00193942">
        <w:rPr>
          <w:sz w:val="22"/>
          <w:szCs w:val="22"/>
        </w:rPr>
        <w:t xml:space="preserve">issues. The National Environmental Service is responsible for the enforcement of the Biological Research and Benefits Bill, while the National Research Committee (including its Manager) is responsible for approving ABS related research. The National Heritage Trust will during the project period </w:t>
      </w:r>
      <w:r w:rsidR="00C04B6C" w:rsidRPr="00193942">
        <w:rPr>
          <w:sz w:val="22"/>
          <w:szCs w:val="22"/>
        </w:rPr>
        <w:lastRenderedPageBreak/>
        <w:t>continue updating the biodiversity database with traditional knowledge</w:t>
      </w:r>
      <w:r w:rsidR="00013D47" w:rsidRPr="00193942">
        <w:rPr>
          <w:sz w:val="22"/>
          <w:szCs w:val="22"/>
        </w:rPr>
        <w:t xml:space="preserve"> which is being provided by the traditional </w:t>
      </w:r>
      <w:proofErr w:type="gramStart"/>
      <w:r w:rsidR="00013D47" w:rsidRPr="00193942">
        <w:rPr>
          <w:sz w:val="22"/>
          <w:szCs w:val="22"/>
        </w:rPr>
        <w:t xml:space="preserve">healers </w:t>
      </w:r>
      <w:r w:rsidR="0054420E" w:rsidRPr="00193942">
        <w:rPr>
          <w:sz w:val="22"/>
          <w:szCs w:val="22"/>
        </w:rPr>
        <w:t>,</w:t>
      </w:r>
      <w:r w:rsidR="006C677D" w:rsidRPr="00193942">
        <w:rPr>
          <w:sz w:val="22"/>
          <w:szCs w:val="22"/>
        </w:rPr>
        <w:t>while</w:t>
      </w:r>
      <w:proofErr w:type="gramEnd"/>
      <w:r w:rsidR="006C677D" w:rsidRPr="00193942">
        <w:rPr>
          <w:sz w:val="22"/>
          <w:szCs w:val="22"/>
        </w:rPr>
        <w:t xml:space="preserve"> the Ministry of Cultural Development will keep a register of all traditional knowledge holders and rights.</w:t>
      </w:r>
      <w:r w:rsidR="00013D47" w:rsidRPr="00193942">
        <w:rPr>
          <w:sz w:val="22"/>
          <w:szCs w:val="22"/>
        </w:rPr>
        <w:t xml:space="preserve"> The ABS Framework and Capacity investment over the project period in the Cook Islands as a baseline figure is estimated at approximately US$ 200,000</w:t>
      </w:r>
      <w:r w:rsidR="00013D47" w:rsidRPr="00193942">
        <w:rPr>
          <w:rStyle w:val="FootnoteReference"/>
          <w:sz w:val="22"/>
          <w:szCs w:val="22"/>
        </w:rPr>
        <w:footnoteReference w:id="16"/>
      </w:r>
      <w:r w:rsidR="00013D47" w:rsidRPr="00193942">
        <w:rPr>
          <w:sz w:val="22"/>
          <w:szCs w:val="22"/>
        </w:rPr>
        <w:t>.</w:t>
      </w:r>
    </w:p>
    <w:p w:rsidR="00DD7AAB" w:rsidRPr="00193942" w:rsidRDefault="00DD7AAB" w:rsidP="00606431">
      <w:pPr>
        <w:pStyle w:val="Footer"/>
        <w:spacing w:after="80"/>
        <w:jc w:val="both"/>
        <w:rPr>
          <w:sz w:val="22"/>
          <w:szCs w:val="22"/>
        </w:rPr>
      </w:pPr>
    </w:p>
    <w:p w:rsidR="006E326D" w:rsidRPr="00193942" w:rsidRDefault="003420A9" w:rsidP="00606431">
      <w:pPr>
        <w:pStyle w:val="Footer"/>
        <w:spacing w:after="80"/>
        <w:jc w:val="both"/>
        <w:rPr>
          <w:sz w:val="22"/>
          <w:szCs w:val="22"/>
        </w:rPr>
      </w:pPr>
      <w:r w:rsidRPr="00193942">
        <w:rPr>
          <w:sz w:val="22"/>
          <w:szCs w:val="22"/>
          <w:u w:val="single"/>
        </w:rPr>
        <w:t>B</w:t>
      </w:r>
      <w:r w:rsidR="00B20C73" w:rsidRPr="00193942">
        <w:rPr>
          <w:sz w:val="22"/>
          <w:szCs w:val="22"/>
          <w:u w:val="single"/>
        </w:rPr>
        <w:t>io-discovery</w:t>
      </w:r>
      <w:r w:rsidR="00E72236" w:rsidRPr="00193942">
        <w:rPr>
          <w:sz w:val="22"/>
          <w:szCs w:val="22"/>
          <w:u w:val="single"/>
        </w:rPr>
        <w:t>:</w:t>
      </w:r>
      <w:r w:rsidR="00E72236" w:rsidRPr="00193942">
        <w:rPr>
          <w:sz w:val="22"/>
          <w:szCs w:val="22"/>
        </w:rPr>
        <w:t xml:space="preserve"> CIMTECH and its local partner Matheson Enterprises will invest approximately US$ 400,000 over the project period in the further development </w:t>
      </w:r>
      <w:r w:rsidR="006E2F13" w:rsidRPr="00193942">
        <w:rPr>
          <w:sz w:val="22"/>
          <w:szCs w:val="22"/>
        </w:rPr>
        <w:t xml:space="preserve">and extraction of plant chemicals in its quest of the commercialisation of the </w:t>
      </w:r>
      <w:proofErr w:type="spellStart"/>
      <w:r w:rsidR="006E2F13" w:rsidRPr="00193942">
        <w:rPr>
          <w:sz w:val="22"/>
          <w:szCs w:val="22"/>
        </w:rPr>
        <w:t>TeTika</w:t>
      </w:r>
      <w:proofErr w:type="spellEnd"/>
      <w:r w:rsidR="006E2F13" w:rsidRPr="00193942">
        <w:rPr>
          <w:sz w:val="22"/>
          <w:szCs w:val="22"/>
        </w:rPr>
        <w:t xml:space="preserve"> Skincare products. </w:t>
      </w:r>
      <w:r w:rsidR="006E326D" w:rsidRPr="00193942">
        <w:rPr>
          <w:sz w:val="22"/>
          <w:szCs w:val="22"/>
        </w:rPr>
        <w:t xml:space="preserve">CIMTECH intends to build upon this successful program with the second of the technology platforms derived from the access and benefit sharing arrangement. </w:t>
      </w:r>
      <w:r w:rsidR="00CC4EFE" w:rsidRPr="00193942">
        <w:rPr>
          <w:sz w:val="22"/>
          <w:szCs w:val="22"/>
        </w:rPr>
        <w:t xml:space="preserve">CIMTECH holds a patent (PCT/AU2010/001679, US2013/0071359 plus other </w:t>
      </w:r>
      <w:r w:rsidR="00816D79" w:rsidRPr="00193942">
        <w:rPr>
          <w:sz w:val="22"/>
          <w:szCs w:val="22"/>
        </w:rPr>
        <w:t>jurisdictions</w:t>
      </w:r>
      <w:r w:rsidR="00CC4EFE" w:rsidRPr="00193942">
        <w:rPr>
          <w:sz w:val="22"/>
          <w:szCs w:val="22"/>
        </w:rPr>
        <w:t xml:space="preserve">) covering the therapeutic uses of </w:t>
      </w:r>
      <w:r w:rsidR="00CC4EFE" w:rsidRPr="00193942">
        <w:rPr>
          <w:i/>
          <w:sz w:val="22"/>
          <w:szCs w:val="22"/>
        </w:rPr>
        <w:t xml:space="preserve">Hibiscus </w:t>
      </w:r>
      <w:proofErr w:type="spellStart"/>
      <w:r w:rsidR="00CC4EFE" w:rsidRPr="00193942">
        <w:rPr>
          <w:i/>
          <w:sz w:val="22"/>
          <w:szCs w:val="22"/>
        </w:rPr>
        <w:t>tiliaceus</w:t>
      </w:r>
      <w:proofErr w:type="spellEnd"/>
      <w:r w:rsidR="00CC4EFE" w:rsidRPr="00193942">
        <w:rPr>
          <w:sz w:val="22"/>
          <w:szCs w:val="22"/>
        </w:rPr>
        <w:t xml:space="preserve"> for the bone and cartilage repair. </w:t>
      </w:r>
      <w:r w:rsidR="006E2F13" w:rsidRPr="00193942">
        <w:rPr>
          <w:sz w:val="22"/>
          <w:szCs w:val="22"/>
        </w:rPr>
        <w:t xml:space="preserve">The healing of bone fractures is a lengthy process. Notably, cartilage does not contain blood vessels and therefore compared to other connective tissue repairs more slowly. CIMTECH’s researchers found that extracts from </w:t>
      </w:r>
      <w:r w:rsidR="006E2F13" w:rsidRPr="00193942">
        <w:rPr>
          <w:i/>
          <w:sz w:val="22"/>
          <w:szCs w:val="22"/>
        </w:rPr>
        <w:t xml:space="preserve">Hibiscus </w:t>
      </w:r>
      <w:proofErr w:type="spellStart"/>
      <w:r w:rsidR="006E2F13" w:rsidRPr="00193942">
        <w:rPr>
          <w:i/>
          <w:sz w:val="22"/>
          <w:szCs w:val="22"/>
        </w:rPr>
        <w:t>tiliaceus</w:t>
      </w:r>
      <w:proofErr w:type="spellEnd"/>
      <w:r w:rsidR="006E2F13" w:rsidRPr="00193942">
        <w:rPr>
          <w:sz w:val="22"/>
          <w:szCs w:val="22"/>
        </w:rPr>
        <w:t xml:space="preserve"> and compositions comprising the same, promote bone and cartilage repair by inducing new bone formation and new cartilage growth. </w:t>
      </w:r>
      <w:r w:rsidR="00CC4EFE" w:rsidRPr="00193942">
        <w:rPr>
          <w:sz w:val="22"/>
          <w:szCs w:val="22"/>
        </w:rPr>
        <w:t xml:space="preserve">The data supporting the therapeutic potential of this is convincing however there are barriers as described above to the full commercialisation of this technology, and the ability of the Cook Islands to capitalise on the opportunity for the direct and indirect benefits intended under the access and benefit sharing arrangements. </w:t>
      </w:r>
    </w:p>
    <w:p w:rsidR="004B7832" w:rsidRPr="0001061D" w:rsidRDefault="00611BE7" w:rsidP="00606431">
      <w:pPr>
        <w:jc w:val="both"/>
        <w:rPr>
          <w:b/>
          <w:bCs/>
          <w:sz w:val="22"/>
          <w:szCs w:val="22"/>
        </w:rPr>
      </w:pPr>
      <w:bookmarkStart w:id="4" w:name="benefits"/>
      <w:bookmarkEnd w:id="3"/>
      <w:r w:rsidRPr="00193942">
        <w:rPr>
          <w:b/>
          <w:bCs/>
          <w:sz w:val="22"/>
          <w:szCs w:val="22"/>
        </w:rPr>
        <w:t>A.1.3) the proposed alternative scenario, with a brief description of expected outcomes and components of the</w:t>
      </w:r>
      <w:r w:rsidRPr="0001061D">
        <w:rPr>
          <w:b/>
          <w:bCs/>
          <w:sz w:val="22"/>
          <w:szCs w:val="22"/>
        </w:rPr>
        <w:t xml:space="preserve"> project and; </w:t>
      </w:r>
      <w:r w:rsidR="00E7482D" w:rsidRPr="0001061D">
        <w:rPr>
          <w:b/>
          <w:bCs/>
          <w:sz w:val="22"/>
          <w:szCs w:val="22"/>
        </w:rPr>
        <w:t>A.1.4) Incremental cost reasoning and expected contributions from the baseline, the GEFTF, LDCF/SCCF and co-financing</w:t>
      </w:r>
    </w:p>
    <w:p w:rsidR="00F16CD9" w:rsidRDefault="00F16CD9" w:rsidP="00606431">
      <w:pPr>
        <w:jc w:val="both"/>
        <w:rPr>
          <w:sz w:val="22"/>
          <w:szCs w:val="22"/>
        </w:rPr>
      </w:pPr>
    </w:p>
    <w:p w:rsidR="00F16CD9" w:rsidRDefault="00F16CD9" w:rsidP="00606431">
      <w:pPr>
        <w:jc w:val="both"/>
        <w:rPr>
          <w:sz w:val="22"/>
          <w:szCs w:val="22"/>
        </w:rPr>
      </w:pPr>
      <w:r>
        <w:rPr>
          <w:sz w:val="22"/>
          <w:szCs w:val="22"/>
        </w:rPr>
        <w:t>The project objective is to: develop and implement a national ABS framework, build national capacities and facilitate the discovery of nature-based products. The project will remove the aforementioned barriers and emplac</w:t>
      </w:r>
      <w:r w:rsidR="000E177D">
        <w:rPr>
          <w:sz w:val="22"/>
          <w:szCs w:val="22"/>
        </w:rPr>
        <w:t>e necessary capacity with the B</w:t>
      </w:r>
      <w:r>
        <w:rPr>
          <w:sz w:val="22"/>
          <w:szCs w:val="22"/>
        </w:rPr>
        <w:t>U and other relevant stakeholders, in particular CIMTECH and Matheson Enterprises Pty Ltd (Cook Islands)</w:t>
      </w:r>
      <w:r w:rsidRPr="00F16CD9">
        <w:rPr>
          <w:sz w:val="22"/>
          <w:szCs w:val="22"/>
        </w:rPr>
        <w:t xml:space="preserve"> </w:t>
      </w:r>
      <w:r w:rsidRPr="0001061D">
        <w:rPr>
          <w:sz w:val="22"/>
          <w:szCs w:val="22"/>
        </w:rPr>
        <w:t>to jointly promote access and benefit sharing</w:t>
      </w:r>
      <w:r>
        <w:rPr>
          <w:sz w:val="22"/>
          <w:szCs w:val="22"/>
        </w:rPr>
        <w:t xml:space="preserve">. </w:t>
      </w:r>
      <w:r w:rsidR="0043610A" w:rsidRPr="0001061D">
        <w:rPr>
          <w:sz w:val="22"/>
          <w:szCs w:val="22"/>
        </w:rPr>
        <w:t>The project plans to utilize the experiences of the existing Cook Islands Medical Technology (CIMTECH)-</w:t>
      </w:r>
      <w:proofErr w:type="spellStart"/>
      <w:r w:rsidR="0043610A" w:rsidRPr="0001061D">
        <w:rPr>
          <w:sz w:val="22"/>
          <w:szCs w:val="22"/>
        </w:rPr>
        <w:t>Koutu</w:t>
      </w:r>
      <w:proofErr w:type="spellEnd"/>
      <w:r w:rsidR="0043610A" w:rsidRPr="0001061D">
        <w:rPr>
          <w:sz w:val="22"/>
          <w:szCs w:val="22"/>
        </w:rPr>
        <w:t xml:space="preserve"> Nui access and benefit agreement to design and implement a national model of access and benefits sharing for the Cook Islands that will increase the amount of research and development, in a mutually beneficial manner, and to facilitate the implementation of the existing agreement to complete the objective of the access and benefit principle on as many levels of Cook Islands society and economy as possible. Additional technology transfer may be supported by the GEF </w:t>
      </w:r>
      <w:proofErr w:type="gramStart"/>
      <w:r w:rsidR="0043610A" w:rsidRPr="0001061D">
        <w:rPr>
          <w:sz w:val="22"/>
          <w:szCs w:val="22"/>
        </w:rPr>
        <w:t>NPIF,</w:t>
      </w:r>
      <w:proofErr w:type="gramEnd"/>
      <w:r w:rsidR="0043610A" w:rsidRPr="0001061D">
        <w:rPr>
          <w:sz w:val="22"/>
          <w:szCs w:val="22"/>
        </w:rPr>
        <w:t xml:space="preserve"> research on new products utilizing these technologies will be pursued, as well as workshops and stakeholder engagement relating to the ABS arrangement, to ensure as many relevant Cook Islands stakeholders receive benefit. Additionally, some analysis of the ways in which the ABS arrangement can further benefit the sustainable use and conservation of biodiversity in the Cook Islands could be pursued (bringing together the thre</w:t>
      </w:r>
      <w:r w:rsidR="00AE3937">
        <w:rPr>
          <w:sz w:val="22"/>
          <w:szCs w:val="22"/>
        </w:rPr>
        <w:t xml:space="preserve">e main objectives of the CBD). </w:t>
      </w:r>
      <w:r w:rsidR="0043610A" w:rsidRPr="0001061D">
        <w:rPr>
          <w:sz w:val="22"/>
          <w:szCs w:val="22"/>
        </w:rPr>
        <w:t xml:space="preserve">The project will support the implementation of the following </w:t>
      </w:r>
      <w:r w:rsidR="0043610A">
        <w:rPr>
          <w:sz w:val="22"/>
          <w:szCs w:val="22"/>
        </w:rPr>
        <w:t>three</w:t>
      </w:r>
      <w:r w:rsidR="0043610A" w:rsidRPr="0001061D">
        <w:rPr>
          <w:sz w:val="22"/>
          <w:szCs w:val="22"/>
        </w:rPr>
        <w:t xml:space="preserve"> components.</w:t>
      </w:r>
    </w:p>
    <w:p w:rsidR="00F16CD9" w:rsidRDefault="00F16CD9" w:rsidP="00606431">
      <w:pPr>
        <w:jc w:val="both"/>
        <w:rPr>
          <w:sz w:val="22"/>
          <w:szCs w:val="22"/>
        </w:rPr>
      </w:pPr>
    </w:p>
    <w:p w:rsidR="002A2BF0" w:rsidRDefault="002A2BF0" w:rsidP="005D42AD">
      <w:pPr>
        <w:jc w:val="both"/>
        <w:rPr>
          <w:b/>
          <w:sz w:val="22"/>
          <w:szCs w:val="22"/>
        </w:rPr>
      </w:pPr>
      <w:r>
        <w:rPr>
          <w:b/>
          <w:sz w:val="22"/>
          <w:szCs w:val="22"/>
        </w:rPr>
        <w:t xml:space="preserve">Component 1: </w:t>
      </w:r>
      <w:r w:rsidR="004D0749">
        <w:rPr>
          <w:b/>
          <w:sz w:val="22"/>
          <w:szCs w:val="22"/>
        </w:rPr>
        <w:t>Strengthened</w:t>
      </w:r>
      <w:r>
        <w:rPr>
          <w:b/>
          <w:sz w:val="22"/>
          <w:szCs w:val="22"/>
        </w:rPr>
        <w:t xml:space="preserve"> National Regulatory and Institutional Framework on ABS</w:t>
      </w:r>
    </w:p>
    <w:p w:rsidR="00B25205" w:rsidRDefault="007B2B44" w:rsidP="00B25205">
      <w:pPr>
        <w:jc w:val="both"/>
        <w:rPr>
          <w:sz w:val="22"/>
          <w:szCs w:val="22"/>
        </w:rPr>
      </w:pPr>
      <w:r w:rsidRPr="00193942">
        <w:rPr>
          <w:sz w:val="22"/>
          <w:szCs w:val="22"/>
        </w:rPr>
        <w:t xml:space="preserve">This component will support strengthening of the national ABS regulatory framework in compliance with the Nagoya </w:t>
      </w:r>
      <w:r w:rsidR="004D0749" w:rsidRPr="00193942">
        <w:rPr>
          <w:sz w:val="22"/>
          <w:szCs w:val="22"/>
        </w:rPr>
        <w:t xml:space="preserve">Protocol and provide support for timely ratification of the Protocol </w:t>
      </w:r>
      <w:r w:rsidR="00310B5A" w:rsidRPr="00193942">
        <w:rPr>
          <w:sz w:val="22"/>
          <w:szCs w:val="22"/>
        </w:rPr>
        <w:t>by Parliament</w:t>
      </w:r>
      <w:r w:rsidR="004D0749" w:rsidRPr="00193942">
        <w:rPr>
          <w:sz w:val="22"/>
          <w:szCs w:val="22"/>
        </w:rPr>
        <w:t xml:space="preserve"> through awareness </w:t>
      </w:r>
      <w:proofErr w:type="gramStart"/>
      <w:r w:rsidR="004D0749" w:rsidRPr="00193942">
        <w:rPr>
          <w:sz w:val="22"/>
          <w:szCs w:val="22"/>
        </w:rPr>
        <w:t>raising</w:t>
      </w:r>
      <w:proofErr w:type="gramEnd"/>
      <w:r w:rsidR="004D0749" w:rsidRPr="00193942">
        <w:rPr>
          <w:sz w:val="22"/>
          <w:szCs w:val="22"/>
        </w:rPr>
        <w:t xml:space="preserve"> and provision of necessary information targeting the legislature. In addition, the </w:t>
      </w:r>
      <w:r w:rsidR="0028259F" w:rsidRPr="00193942">
        <w:rPr>
          <w:sz w:val="22"/>
          <w:szCs w:val="22"/>
        </w:rPr>
        <w:t xml:space="preserve">national legal </w:t>
      </w:r>
      <w:r w:rsidR="004D0749" w:rsidRPr="00193942">
        <w:rPr>
          <w:sz w:val="22"/>
          <w:szCs w:val="22"/>
        </w:rPr>
        <w:t xml:space="preserve">framework </w:t>
      </w:r>
      <w:r w:rsidR="0028259F" w:rsidRPr="00193942">
        <w:rPr>
          <w:sz w:val="22"/>
          <w:szCs w:val="22"/>
        </w:rPr>
        <w:t xml:space="preserve">on </w:t>
      </w:r>
      <w:r w:rsidR="004D0749" w:rsidRPr="00193942">
        <w:rPr>
          <w:sz w:val="22"/>
          <w:szCs w:val="22"/>
        </w:rPr>
        <w:t xml:space="preserve">ABS will be fully established and made operational under this component. </w:t>
      </w:r>
      <w:r w:rsidR="002A2BF0" w:rsidRPr="00193942">
        <w:rPr>
          <w:sz w:val="22"/>
          <w:szCs w:val="22"/>
        </w:rPr>
        <w:t xml:space="preserve">A National ABS </w:t>
      </w:r>
      <w:r w:rsidR="004D0749" w:rsidRPr="00193942">
        <w:rPr>
          <w:sz w:val="22"/>
          <w:szCs w:val="22"/>
        </w:rPr>
        <w:t>Act</w:t>
      </w:r>
      <w:r w:rsidR="002A2BF0" w:rsidRPr="00193942">
        <w:rPr>
          <w:sz w:val="22"/>
          <w:szCs w:val="22"/>
        </w:rPr>
        <w:t xml:space="preserve"> will be developed</w:t>
      </w:r>
      <w:r w:rsidR="00E80DD5" w:rsidRPr="00193942">
        <w:rPr>
          <w:sz w:val="22"/>
          <w:szCs w:val="22"/>
        </w:rPr>
        <w:t xml:space="preserve"> and approved</w:t>
      </w:r>
      <w:r w:rsidR="0037671D" w:rsidRPr="00193942">
        <w:rPr>
          <w:sz w:val="22"/>
          <w:szCs w:val="22"/>
        </w:rPr>
        <w:t xml:space="preserve"> by parliament</w:t>
      </w:r>
      <w:r w:rsidR="002A2BF0" w:rsidRPr="00193942">
        <w:rPr>
          <w:sz w:val="22"/>
          <w:szCs w:val="22"/>
        </w:rPr>
        <w:t xml:space="preserve"> that </w:t>
      </w:r>
      <w:r w:rsidR="00040232" w:rsidRPr="00193942">
        <w:rPr>
          <w:sz w:val="22"/>
          <w:szCs w:val="22"/>
        </w:rPr>
        <w:t xml:space="preserve">is fully compliant with the Nagoya Protocol. It will </w:t>
      </w:r>
      <w:r w:rsidR="002A2BF0" w:rsidRPr="00193942">
        <w:rPr>
          <w:sz w:val="22"/>
          <w:szCs w:val="22"/>
        </w:rPr>
        <w:t>mandat</w:t>
      </w:r>
      <w:r w:rsidR="00040232" w:rsidRPr="00193942">
        <w:rPr>
          <w:sz w:val="22"/>
          <w:szCs w:val="22"/>
        </w:rPr>
        <w:t xml:space="preserve">e the Biodiversity Unit of the </w:t>
      </w:r>
      <w:r w:rsidR="002A2BF0" w:rsidRPr="00193942">
        <w:rPr>
          <w:sz w:val="22"/>
          <w:szCs w:val="22"/>
        </w:rPr>
        <w:t xml:space="preserve">National Environment Services to coordinate </w:t>
      </w:r>
      <w:r w:rsidR="00040232" w:rsidRPr="00193942">
        <w:rPr>
          <w:sz w:val="22"/>
          <w:szCs w:val="22"/>
        </w:rPr>
        <w:t>all</w:t>
      </w:r>
      <w:r w:rsidR="002A2BF0" w:rsidRPr="00193942">
        <w:rPr>
          <w:sz w:val="22"/>
          <w:szCs w:val="22"/>
        </w:rPr>
        <w:t xml:space="preserve"> ABS activities. The legislation will also, in line with the National Research Policy, clarify the roles and responsibilities of the different government departments regarding the management of act</w:t>
      </w:r>
      <w:r w:rsidR="00040232" w:rsidRPr="00193942">
        <w:rPr>
          <w:sz w:val="22"/>
          <w:szCs w:val="22"/>
        </w:rPr>
        <w:t>ivities related to ABS of Cook I</w:t>
      </w:r>
      <w:r w:rsidR="002A2BF0" w:rsidRPr="00193942">
        <w:rPr>
          <w:sz w:val="22"/>
          <w:szCs w:val="22"/>
        </w:rPr>
        <w:t xml:space="preserve">slands’ </w:t>
      </w:r>
      <w:r w:rsidR="0028259F" w:rsidRPr="00193942">
        <w:rPr>
          <w:sz w:val="22"/>
          <w:szCs w:val="22"/>
        </w:rPr>
        <w:t xml:space="preserve">genetic </w:t>
      </w:r>
      <w:r w:rsidR="002A2BF0" w:rsidRPr="00193942">
        <w:rPr>
          <w:sz w:val="22"/>
          <w:szCs w:val="22"/>
        </w:rPr>
        <w:t xml:space="preserve">resources (including traditional knowledge, practices and innovations) and to ensure the equitable sharing of benefits that arise from this process. </w:t>
      </w:r>
      <w:r w:rsidR="004D0749" w:rsidRPr="00193942">
        <w:rPr>
          <w:sz w:val="22"/>
          <w:szCs w:val="22"/>
        </w:rPr>
        <w:t xml:space="preserve">Among others, the legislation will expand the mandate of the National Research Committee to serve as the permitting authority for ABS activities in Cook Islands. </w:t>
      </w:r>
      <w:r w:rsidR="00040232" w:rsidRPr="00193942">
        <w:rPr>
          <w:sz w:val="22"/>
          <w:szCs w:val="22"/>
        </w:rPr>
        <w:t>Mechanisms will be developed to foster working partnerships between the National Research Committee (and in specific the National Research Manager)</w:t>
      </w:r>
      <w:r w:rsidR="00F14371" w:rsidRPr="00193942">
        <w:rPr>
          <w:sz w:val="22"/>
          <w:szCs w:val="22"/>
        </w:rPr>
        <w:t>,</w:t>
      </w:r>
      <w:r w:rsidR="00040232" w:rsidRPr="00193942">
        <w:rPr>
          <w:sz w:val="22"/>
          <w:szCs w:val="22"/>
        </w:rPr>
        <w:t xml:space="preserve"> the Biodiversity Unit within the National Environment Services</w:t>
      </w:r>
      <w:r w:rsidR="0037671D" w:rsidRPr="00193942">
        <w:rPr>
          <w:sz w:val="22"/>
          <w:szCs w:val="22"/>
        </w:rPr>
        <w:t xml:space="preserve">, the Ministry of Culture </w:t>
      </w:r>
      <w:r w:rsidR="00310B5A" w:rsidRPr="00193942">
        <w:rPr>
          <w:sz w:val="22"/>
          <w:szCs w:val="22"/>
        </w:rPr>
        <w:t>D</w:t>
      </w:r>
      <w:r w:rsidR="0037671D" w:rsidRPr="00193942">
        <w:rPr>
          <w:sz w:val="22"/>
          <w:szCs w:val="22"/>
        </w:rPr>
        <w:t>evelopment</w:t>
      </w:r>
      <w:r w:rsidR="00F14371" w:rsidRPr="00193942">
        <w:rPr>
          <w:sz w:val="22"/>
          <w:szCs w:val="22"/>
        </w:rPr>
        <w:t xml:space="preserve"> and the Ministry of Marine Resources</w:t>
      </w:r>
      <w:r w:rsidR="0006257A" w:rsidRPr="00193942">
        <w:rPr>
          <w:sz w:val="22"/>
          <w:szCs w:val="22"/>
        </w:rPr>
        <w:t>, as well as among the law enforcement agencies (Police and Customs)</w:t>
      </w:r>
      <w:r w:rsidR="00040232" w:rsidRPr="00193942">
        <w:rPr>
          <w:sz w:val="22"/>
          <w:szCs w:val="22"/>
        </w:rPr>
        <w:t xml:space="preserve">. </w:t>
      </w:r>
      <w:r w:rsidR="004D0749" w:rsidRPr="00193942">
        <w:rPr>
          <w:sz w:val="22"/>
          <w:szCs w:val="22"/>
        </w:rPr>
        <w:t>In order to strengthen the national legal framework on ABS, the project will also assist in the development of ABS rules and procedures including ABS contract models, processes and related forms based on analysis and review of the current national processes</w:t>
      </w:r>
      <w:r w:rsidR="000803CB" w:rsidRPr="00193942">
        <w:rPr>
          <w:sz w:val="22"/>
          <w:szCs w:val="22"/>
        </w:rPr>
        <w:t>. Under this component, the project will</w:t>
      </w:r>
      <w:r w:rsidR="00057A2A" w:rsidRPr="00193942">
        <w:rPr>
          <w:sz w:val="22"/>
          <w:szCs w:val="22"/>
        </w:rPr>
        <w:t xml:space="preserve"> develop </w:t>
      </w:r>
      <w:r w:rsidR="00C173F7" w:rsidRPr="00193942">
        <w:rPr>
          <w:sz w:val="22"/>
          <w:szCs w:val="22"/>
        </w:rPr>
        <w:t xml:space="preserve">best practise </w:t>
      </w:r>
      <w:r w:rsidR="00057A2A" w:rsidRPr="00193942">
        <w:rPr>
          <w:sz w:val="22"/>
          <w:szCs w:val="22"/>
        </w:rPr>
        <w:t>guidelines</w:t>
      </w:r>
      <w:r w:rsidR="00C173F7" w:rsidRPr="00193942">
        <w:rPr>
          <w:sz w:val="22"/>
          <w:szCs w:val="22"/>
        </w:rPr>
        <w:t xml:space="preserve"> for the ABS permit process including for community </w:t>
      </w:r>
      <w:r w:rsidR="00310B5A" w:rsidRPr="00193942">
        <w:rPr>
          <w:sz w:val="22"/>
          <w:szCs w:val="22"/>
        </w:rPr>
        <w:t>consultation and</w:t>
      </w:r>
      <w:r w:rsidR="00C173F7" w:rsidRPr="00193942">
        <w:rPr>
          <w:sz w:val="22"/>
          <w:szCs w:val="22"/>
        </w:rPr>
        <w:t xml:space="preserve"> the development of model agreements.</w:t>
      </w:r>
      <w:r w:rsidR="00C173F7">
        <w:rPr>
          <w:sz w:val="22"/>
          <w:szCs w:val="22"/>
        </w:rPr>
        <w:t xml:space="preserve"> </w:t>
      </w:r>
    </w:p>
    <w:p w:rsidR="00B25205" w:rsidRDefault="00B25205" w:rsidP="00B25205">
      <w:pPr>
        <w:jc w:val="both"/>
        <w:rPr>
          <w:sz w:val="22"/>
          <w:szCs w:val="22"/>
        </w:rPr>
      </w:pPr>
    </w:p>
    <w:p w:rsidR="000803CB" w:rsidRDefault="00C173F7" w:rsidP="000803CB">
      <w:pPr>
        <w:jc w:val="both"/>
        <w:rPr>
          <w:b/>
          <w:i/>
          <w:sz w:val="22"/>
          <w:szCs w:val="22"/>
        </w:rPr>
      </w:pPr>
      <w:r w:rsidRPr="00193942">
        <w:rPr>
          <w:sz w:val="22"/>
          <w:szCs w:val="22"/>
        </w:rPr>
        <w:t xml:space="preserve">This component will also </w:t>
      </w:r>
      <w:r w:rsidR="000803CB" w:rsidRPr="00193942">
        <w:rPr>
          <w:sz w:val="22"/>
          <w:szCs w:val="22"/>
        </w:rPr>
        <w:t xml:space="preserve">support the further refinement of </w:t>
      </w:r>
      <w:r w:rsidRPr="00193942">
        <w:rPr>
          <w:sz w:val="22"/>
          <w:szCs w:val="22"/>
        </w:rPr>
        <w:t xml:space="preserve">the </w:t>
      </w:r>
      <w:r w:rsidR="00F14371" w:rsidRPr="00193942">
        <w:rPr>
          <w:sz w:val="22"/>
          <w:szCs w:val="22"/>
        </w:rPr>
        <w:t>existing</w:t>
      </w:r>
      <w:r w:rsidR="000803CB" w:rsidRPr="00193942">
        <w:rPr>
          <w:sz w:val="22"/>
          <w:szCs w:val="22"/>
        </w:rPr>
        <w:t xml:space="preserve"> ABS agreement</w:t>
      </w:r>
      <w:r w:rsidRPr="00193942">
        <w:rPr>
          <w:sz w:val="22"/>
          <w:szCs w:val="22"/>
        </w:rPr>
        <w:t xml:space="preserve"> between CIMTEC</w:t>
      </w:r>
      <w:r w:rsidR="00B25205" w:rsidRPr="00193942">
        <w:rPr>
          <w:sz w:val="22"/>
          <w:szCs w:val="22"/>
        </w:rPr>
        <w:t>H (user)</w:t>
      </w:r>
      <w:r w:rsidRPr="00193942">
        <w:rPr>
          <w:sz w:val="22"/>
          <w:szCs w:val="22"/>
        </w:rPr>
        <w:t xml:space="preserve"> and </w:t>
      </w:r>
      <w:proofErr w:type="spellStart"/>
      <w:r w:rsidRPr="00193942">
        <w:rPr>
          <w:sz w:val="22"/>
          <w:szCs w:val="22"/>
        </w:rPr>
        <w:t>Koutu</w:t>
      </w:r>
      <w:proofErr w:type="spellEnd"/>
      <w:r w:rsidRPr="00193942">
        <w:rPr>
          <w:sz w:val="22"/>
          <w:szCs w:val="22"/>
        </w:rPr>
        <w:t xml:space="preserve"> Nui</w:t>
      </w:r>
      <w:r w:rsidR="00B25205" w:rsidRPr="00193942">
        <w:rPr>
          <w:sz w:val="22"/>
          <w:szCs w:val="22"/>
        </w:rPr>
        <w:t xml:space="preserve"> (Provider) for use of </w:t>
      </w:r>
      <w:r w:rsidR="00432041" w:rsidRPr="00193942">
        <w:rPr>
          <w:sz w:val="22"/>
          <w:szCs w:val="22"/>
        </w:rPr>
        <w:t>genetic resources for skincare product development (based on traditional knowledge)</w:t>
      </w:r>
      <w:r w:rsidR="000803CB" w:rsidRPr="00193942">
        <w:rPr>
          <w:sz w:val="22"/>
          <w:szCs w:val="22"/>
        </w:rPr>
        <w:t xml:space="preserve"> to ensure consistency with Nagoya Protocol Benefit Sharing provisions and national legislation</w:t>
      </w:r>
      <w:r w:rsidR="00B25205" w:rsidRPr="00193942">
        <w:rPr>
          <w:sz w:val="22"/>
          <w:szCs w:val="22"/>
        </w:rPr>
        <w:t xml:space="preserve"> </w:t>
      </w:r>
      <w:r w:rsidR="00ED1483" w:rsidRPr="00193942">
        <w:rPr>
          <w:sz w:val="22"/>
          <w:szCs w:val="22"/>
        </w:rPr>
        <w:t>including specifying m</w:t>
      </w:r>
      <w:r w:rsidR="00B25205" w:rsidRPr="00193942">
        <w:rPr>
          <w:sz w:val="22"/>
          <w:szCs w:val="22"/>
        </w:rPr>
        <w:t>onetary and non-monetary benefits</w:t>
      </w:r>
      <w:r w:rsidR="000803CB" w:rsidRPr="00193942">
        <w:rPr>
          <w:sz w:val="22"/>
          <w:szCs w:val="22"/>
        </w:rPr>
        <w:t>.</w:t>
      </w:r>
      <w:r w:rsidR="00AE3937" w:rsidRPr="00193942">
        <w:rPr>
          <w:sz w:val="22"/>
          <w:szCs w:val="22"/>
        </w:rPr>
        <w:t xml:space="preserve"> </w:t>
      </w:r>
      <w:r w:rsidR="000803CB" w:rsidRPr="00193942">
        <w:rPr>
          <w:sz w:val="22"/>
          <w:szCs w:val="22"/>
        </w:rPr>
        <w:t xml:space="preserve">This will be done through strong community consultations, awareness </w:t>
      </w:r>
      <w:proofErr w:type="gramStart"/>
      <w:r w:rsidR="000803CB" w:rsidRPr="00193942">
        <w:rPr>
          <w:sz w:val="22"/>
          <w:szCs w:val="22"/>
        </w:rPr>
        <w:t>raising</w:t>
      </w:r>
      <w:proofErr w:type="gramEnd"/>
      <w:r w:rsidR="000803CB" w:rsidRPr="00193942">
        <w:rPr>
          <w:sz w:val="22"/>
          <w:szCs w:val="22"/>
        </w:rPr>
        <w:t xml:space="preserve"> in the national ABS protocol development. The project will support this based on international best practice.</w:t>
      </w:r>
      <w:r w:rsidR="000803CB">
        <w:rPr>
          <w:sz w:val="22"/>
          <w:szCs w:val="22"/>
        </w:rPr>
        <w:t xml:space="preserve"> </w:t>
      </w:r>
    </w:p>
    <w:p w:rsidR="00074209" w:rsidRDefault="00074209" w:rsidP="005D42AD">
      <w:pPr>
        <w:jc w:val="both"/>
        <w:rPr>
          <w:sz w:val="22"/>
          <w:szCs w:val="22"/>
        </w:rPr>
      </w:pPr>
    </w:p>
    <w:p w:rsidR="002A2BF0" w:rsidRDefault="002A2BF0" w:rsidP="002A2BF0">
      <w:pPr>
        <w:jc w:val="both"/>
        <w:rPr>
          <w:b/>
          <w:i/>
          <w:sz w:val="22"/>
          <w:szCs w:val="22"/>
        </w:rPr>
      </w:pPr>
      <w:r w:rsidRPr="006B3ACB">
        <w:rPr>
          <w:b/>
          <w:sz w:val="22"/>
          <w:szCs w:val="22"/>
        </w:rPr>
        <w:t xml:space="preserve">Component </w:t>
      </w:r>
      <w:r w:rsidR="000803CB">
        <w:rPr>
          <w:b/>
          <w:sz w:val="22"/>
          <w:szCs w:val="22"/>
        </w:rPr>
        <w:t>2</w:t>
      </w:r>
      <w:r w:rsidR="003E56C0">
        <w:rPr>
          <w:b/>
          <w:sz w:val="22"/>
          <w:szCs w:val="22"/>
        </w:rPr>
        <w:t>: Capacity building and awareness raising for the implementation of the National ABS Framework</w:t>
      </w:r>
      <w:r w:rsidRPr="0001061D">
        <w:rPr>
          <w:sz w:val="20"/>
          <w:szCs w:val="20"/>
        </w:rPr>
        <w:t xml:space="preserve"> </w:t>
      </w:r>
    </w:p>
    <w:p w:rsidR="005D42AD" w:rsidRPr="006938FE" w:rsidRDefault="003E56C0" w:rsidP="005D42AD">
      <w:pPr>
        <w:jc w:val="both"/>
        <w:rPr>
          <w:sz w:val="22"/>
          <w:szCs w:val="22"/>
        </w:rPr>
      </w:pPr>
      <w:r w:rsidRPr="003F53EA">
        <w:rPr>
          <w:sz w:val="22"/>
          <w:szCs w:val="22"/>
        </w:rPr>
        <w:t xml:space="preserve">This </w:t>
      </w:r>
      <w:r w:rsidR="00193973" w:rsidRPr="003F53EA">
        <w:rPr>
          <w:sz w:val="22"/>
          <w:szCs w:val="22"/>
        </w:rPr>
        <w:t>component</w:t>
      </w:r>
      <w:r w:rsidRPr="003F53EA">
        <w:rPr>
          <w:sz w:val="22"/>
          <w:szCs w:val="22"/>
        </w:rPr>
        <w:t xml:space="preserve"> will focus on building the capacity of the </w:t>
      </w:r>
      <w:r w:rsidR="00193973" w:rsidRPr="003F53EA">
        <w:rPr>
          <w:sz w:val="22"/>
          <w:szCs w:val="22"/>
        </w:rPr>
        <w:t xml:space="preserve">Biodiversity </w:t>
      </w:r>
      <w:r w:rsidR="00154E66" w:rsidRPr="003F53EA">
        <w:rPr>
          <w:sz w:val="22"/>
          <w:szCs w:val="22"/>
        </w:rPr>
        <w:t xml:space="preserve">Conservation </w:t>
      </w:r>
      <w:r w:rsidR="00193973" w:rsidRPr="003F53EA">
        <w:rPr>
          <w:sz w:val="22"/>
          <w:szCs w:val="22"/>
        </w:rPr>
        <w:t>Unit and the Islands Future Division within the National Environment Services as well as National Research Committee</w:t>
      </w:r>
      <w:r w:rsidR="003D17E3" w:rsidRPr="003F53EA">
        <w:rPr>
          <w:sz w:val="22"/>
          <w:szCs w:val="22"/>
        </w:rPr>
        <w:t xml:space="preserve"> and Ministry of Marine Resources</w:t>
      </w:r>
      <w:r w:rsidR="00193973" w:rsidRPr="003F53EA">
        <w:rPr>
          <w:sz w:val="22"/>
          <w:szCs w:val="22"/>
        </w:rPr>
        <w:t xml:space="preserve"> for facilitating ABS agreements and handling issues under the Nagoya Protocol. Emphasis will </w:t>
      </w:r>
      <w:r w:rsidR="00495FEA" w:rsidRPr="003F53EA">
        <w:rPr>
          <w:sz w:val="22"/>
          <w:szCs w:val="22"/>
        </w:rPr>
        <w:t>be placed upon monitoring of bio</w:t>
      </w:r>
      <w:r w:rsidR="00F14371" w:rsidRPr="003F53EA">
        <w:rPr>
          <w:sz w:val="22"/>
          <w:szCs w:val="22"/>
        </w:rPr>
        <w:t>-pro</w:t>
      </w:r>
      <w:r w:rsidR="00495FEA" w:rsidRPr="003F53EA">
        <w:rPr>
          <w:sz w:val="22"/>
          <w:szCs w:val="22"/>
        </w:rPr>
        <w:t xml:space="preserve">specting projects and facilitating value addition to genetic/biological resources in the country. </w:t>
      </w:r>
      <w:r w:rsidR="00B67BFF">
        <w:rPr>
          <w:sz w:val="22"/>
          <w:szCs w:val="22"/>
        </w:rPr>
        <w:t xml:space="preserve">The methodologies for ABS </w:t>
      </w:r>
      <w:r w:rsidR="00495FEA" w:rsidRPr="003F53EA">
        <w:rPr>
          <w:sz w:val="22"/>
          <w:szCs w:val="22"/>
        </w:rPr>
        <w:t xml:space="preserve">Capacity improvement will be gauged using the UNDP ABS Capacity Scorecard which has been developed specifically for ABS projects. </w:t>
      </w:r>
      <w:r w:rsidR="0006257A" w:rsidRPr="003F53EA">
        <w:rPr>
          <w:sz w:val="22"/>
          <w:szCs w:val="22"/>
        </w:rPr>
        <w:t xml:space="preserve">The </w:t>
      </w:r>
      <w:r w:rsidR="003F53EA" w:rsidRPr="003F53EA">
        <w:rPr>
          <w:sz w:val="22"/>
          <w:szCs w:val="22"/>
        </w:rPr>
        <w:t>Cook Islands Biodiversity database information regarding traditional uses of plants will be expanded through the collection of such information and input into the database. The project</w:t>
      </w:r>
      <w:r w:rsidR="00135AC4" w:rsidRPr="003F53EA">
        <w:rPr>
          <w:sz w:val="22"/>
          <w:szCs w:val="22"/>
        </w:rPr>
        <w:t xml:space="preserve"> will assist the government to develop online processes in place for ABS agreements, in line with </w:t>
      </w:r>
      <w:r w:rsidR="003F53EA" w:rsidRPr="003F53EA">
        <w:rPr>
          <w:sz w:val="22"/>
          <w:szCs w:val="22"/>
        </w:rPr>
        <w:t>National E</w:t>
      </w:r>
      <w:r w:rsidR="00135AC4" w:rsidRPr="003F53EA">
        <w:rPr>
          <w:sz w:val="22"/>
          <w:szCs w:val="22"/>
        </w:rPr>
        <w:t xml:space="preserve">nvironment </w:t>
      </w:r>
      <w:r w:rsidR="003F53EA" w:rsidRPr="003F53EA">
        <w:rPr>
          <w:sz w:val="22"/>
          <w:szCs w:val="22"/>
        </w:rPr>
        <w:t>Service’s</w:t>
      </w:r>
      <w:r w:rsidR="00135AC4" w:rsidRPr="003F53EA">
        <w:rPr>
          <w:sz w:val="22"/>
          <w:szCs w:val="22"/>
        </w:rPr>
        <w:t xml:space="preserve"> systems and procedures. </w:t>
      </w:r>
      <w:r w:rsidR="005D42AD" w:rsidRPr="003F53EA">
        <w:rPr>
          <w:sz w:val="22"/>
          <w:szCs w:val="22"/>
        </w:rPr>
        <w:t>Following these, the project will support the organization of national training for government staff from relevant government agencies and NGOs on the Nagoya Protocol provisions and national legislation. Such training materials will also be made available online for future reference and use.</w:t>
      </w:r>
      <w:r w:rsidR="00135AC4" w:rsidRPr="003F53EA">
        <w:rPr>
          <w:sz w:val="22"/>
          <w:szCs w:val="22"/>
        </w:rPr>
        <w:t xml:space="preserve"> </w:t>
      </w:r>
      <w:r w:rsidR="00E05E88">
        <w:rPr>
          <w:sz w:val="22"/>
          <w:szCs w:val="21"/>
        </w:rPr>
        <w:t xml:space="preserve">The project will also focus on the operationalization of ABS agreements such that some benefit sharing occurs during the course of the project. </w:t>
      </w:r>
      <w:r w:rsidR="00E05E88" w:rsidRPr="003F53EA">
        <w:rPr>
          <w:sz w:val="22"/>
          <w:szCs w:val="22"/>
        </w:rPr>
        <w:t xml:space="preserve">The bio-prospecting work will be linked strongly to biodiversity through the support to raise awareness of the need for </w:t>
      </w:r>
      <w:proofErr w:type="spellStart"/>
      <w:r w:rsidR="00E05E88" w:rsidRPr="003F53EA">
        <w:rPr>
          <w:i/>
          <w:sz w:val="22"/>
          <w:szCs w:val="22"/>
        </w:rPr>
        <w:t>ra’ui</w:t>
      </w:r>
      <w:proofErr w:type="spellEnd"/>
      <w:r w:rsidR="00E05E88" w:rsidRPr="003F53EA">
        <w:rPr>
          <w:i/>
          <w:sz w:val="22"/>
          <w:szCs w:val="22"/>
        </w:rPr>
        <w:t xml:space="preserve"> </w:t>
      </w:r>
      <w:r w:rsidR="00E05E88" w:rsidRPr="003F53EA">
        <w:rPr>
          <w:sz w:val="22"/>
          <w:szCs w:val="22"/>
        </w:rPr>
        <w:t xml:space="preserve">and the management of the areas declared under </w:t>
      </w:r>
      <w:proofErr w:type="spellStart"/>
      <w:r w:rsidR="00E05E88" w:rsidRPr="003F53EA">
        <w:rPr>
          <w:i/>
          <w:sz w:val="22"/>
          <w:szCs w:val="22"/>
        </w:rPr>
        <w:t>ra’ui</w:t>
      </w:r>
      <w:proofErr w:type="spellEnd"/>
      <w:r w:rsidR="00E05E88" w:rsidRPr="003F53EA">
        <w:rPr>
          <w:sz w:val="22"/>
          <w:szCs w:val="22"/>
        </w:rPr>
        <w:t xml:space="preserve">. The possibility of setting up a </w:t>
      </w:r>
      <w:proofErr w:type="spellStart"/>
      <w:r w:rsidR="00E05E88" w:rsidRPr="003F53EA">
        <w:rPr>
          <w:i/>
          <w:sz w:val="22"/>
          <w:szCs w:val="22"/>
        </w:rPr>
        <w:t>Ra’ui</w:t>
      </w:r>
      <w:proofErr w:type="spellEnd"/>
      <w:r w:rsidR="00E05E88" w:rsidRPr="003F53EA">
        <w:rPr>
          <w:sz w:val="22"/>
          <w:szCs w:val="22"/>
        </w:rPr>
        <w:t xml:space="preserve"> Network Trust Fund will be investigated during the PPG stage mainly through consultations with the </w:t>
      </w:r>
      <w:proofErr w:type="spellStart"/>
      <w:r w:rsidR="00E05E88" w:rsidRPr="003F53EA">
        <w:rPr>
          <w:i/>
          <w:sz w:val="22"/>
          <w:szCs w:val="22"/>
        </w:rPr>
        <w:t>Koutu</w:t>
      </w:r>
      <w:proofErr w:type="spellEnd"/>
      <w:r w:rsidR="00E05E88" w:rsidRPr="003F53EA">
        <w:rPr>
          <w:i/>
          <w:sz w:val="22"/>
          <w:szCs w:val="22"/>
        </w:rPr>
        <w:t xml:space="preserve"> Nui</w:t>
      </w:r>
      <w:r w:rsidR="00E05E88" w:rsidRPr="003F53EA">
        <w:rPr>
          <w:sz w:val="22"/>
          <w:szCs w:val="22"/>
        </w:rPr>
        <w:t xml:space="preserve">. </w:t>
      </w:r>
      <w:r w:rsidR="00E05E88">
        <w:rPr>
          <w:sz w:val="22"/>
          <w:szCs w:val="22"/>
        </w:rPr>
        <w:t>M</w:t>
      </w:r>
      <w:r w:rsidR="00E05E88" w:rsidRPr="003F53EA">
        <w:rPr>
          <w:sz w:val="22"/>
          <w:szCs w:val="22"/>
        </w:rPr>
        <w:t xml:space="preserve">echanisms </w:t>
      </w:r>
      <w:r w:rsidR="00E05E88">
        <w:rPr>
          <w:sz w:val="22"/>
          <w:szCs w:val="22"/>
        </w:rPr>
        <w:t xml:space="preserve">will also be developed </w:t>
      </w:r>
      <w:r w:rsidR="00E05E88" w:rsidRPr="003F53EA">
        <w:rPr>
          <w:sz w:val="22"/>
          <w:szCs w:val="22"/>
        </w:rPr>
        <w:t>that will ensure PIC.</w:t>
      </w:r>
    </w:p>
    <w:p w:rsidR="008C7B7B" w:rsidRDefault="008C7B7B" w:rsidP="00606431">
      <w:pPr>
        <w:jc w:val="both"/>
        <w:rPr>
          <w:b/>
          <w:i/>
          <w:sz w:val="22"/>
          <w:szCs w:val="22"/>
        </w:rPr>
      </w:pPr>
    </w:p>
    <w:p w:rsidR="00191FA8" w:rsidRPr="00191FA8" w:rsidRDefault="00191FA8" w:rsidP="00606431">
      <w:pPr>
        <w:jc w:val="both"/>
        <w:rPr>
          <w:b/>
          <w:sz w:val="22"/>
          <w:szCs w:val="22"/>
        </w:rPr>
      </w:pPr>
      <w:r w:rsidRPr="00193942">
        <w:rPr>
          <w:b/>
          <w:sz w:val="22"/>
          <w:szCs w:val="22"/>
        </w:rPr>
        <w:t>Component 3:</w:t>
      </w:r>
      <w:r w:rsidR="00C50C58" w:rsidRPr="00193942">
        <w:rPr>
          <w:b/>
          <w:sz w:val="22"/>
          <w:szCs w:val="22"/>
        </w:rPr>
        <w:t xml:space="preserve"> </w:t>
      </w:r>
      <w:r w:rsidR="000E730D" w:rsidRPr="00193942">
        <w:rPr>
          <w:b/>
          <w:sz w:val="22"/>
          <w:szCs w:val="22"/>
        </w:rPr>
        <w:t xml:space="preserve">Bio-discovery and benefit-sharing </w:t>
      </w:r>
      <w:r w:rsidR="00D202CB" w:rsidRPr="00193942">
        <w:rPr>
          <w:b/>
          <w:sz w:val="22"/>
          <w:szCs w:val="22"/>
        </w:rPr>
        <w:t xml:space="preserve">based on the Traditional Knowledge on </w:t>
      </w:r>
      <w:r w:rsidR="00F14371" w:rsidRPr="00193942">
        <w:rPr>
          <w:b/>
          <w:sz w:val="22"/>
          <w:szCs w:val="22"/>
        </w:rPr>
        <w:t>B</w:t>
      </w:r>
      <w:r w:rsidR="00310B5A" w:rsidRPr="00193942">
        <w:rPr>
          <w:b/>
          <w:sz w:val="22"/>
          <w:szCs w:val="22"/>
        </w:rPr>
        <w:t>one and Cartilage Regeneration</w:t>
      </w:r>
    </w:p>
    <w:p w:rsidR="007C7846" w:rsidRDefault="007A43F3" w:rsidP="00606431">
      <w:pPr>
        <w:jc w:val="both"/>
        <w:rPr>
          <w:sz w:val="22"/>
          <w:szCs w:val="22"/>
        </w:rPr>
      </w:pPr>
      <w:r w:rsidRPr="0001061D">
        <w:rPr>
          <w:sz w:val="22"/>
          <w:szCs w:val="22"/>
        </w:rPr>
        <w:t xml:space="preserve">Under this component, the project will support the </w:t>
      </w:r>
      <w:r w:rsidR="00A13BCD" w:rsidRPr="0001061D">
        <w:rPr>
          <w:sz w:val="22"/>
          <w:szCs w:val="22"/>
        </w:rPr>
        <w:t xml:space="preserve">procurement of technical advisory services and assistance to </w:t>
      </w:r>
      <w:r w:rsidR="00D202CB">
        <w:rPr>
          <w:sz w:val="22"/>
          <w:szCs w:val="22"/>
        </w:rPr>
        <w:t xml:space="preserve">improve the </w:t>
      </w:r>
      <w:r w:rsidR="00172D83" w:rsidRPr="0001061D">
        <w:rPr>
          <w:sz w:val="22"/>
          <w:szCs w:val="22"/>
        </w:rPr>
        <w:t xml:space="preserve">extraction protocol for natural biologically active plant compound derived from </w:t>
      </w:r>
      <w:r w:rsidR="00172D83" w:rsidRPr="00D202CB">
        <w:rPr>
          <w:i/>
          <w:sz w:val="22"/>
          <w:szCs w:val="22"/>
        </w:rPr>
        <w:t>"Au"</w:t>
      </w:r>
      <w:r w:rsidR="00172D83" w:rsidRPr="0001061D">
        <w:rPr>
          <w:sz w:val="22"/>
          <w:szCs w:val="22"/>
        </w:rPr>
        <w:t xml:space="preserve"> (</w:t>
      </w:r>
      <w:r w:rsidR="00172D83" w:rsidRPr="00D202CB">
        <w:rPr>
          <w:i/>
          <w:sz w:val="22"/>
          <w:szCs w:val="22"/>
        </w:rPr>
        <w:t xml:space="preserve">Hibiscus </w:t>
      </w:r>
      <w:proofErr w:type="spellStart"/>
      <w:r w:rsidR="00172D83" w:rsidRPr="00D202CB">
        <w:rPr>
          <w:i/>
          <w:sz w:val="22"/>
          <w:szCs w:val="22"/>
        </w:rPr>
        <w:t>tiliaceus</w:t>
      </w:r>
      <w:proofErr w:type="spellEnd"/>
      <w:r w:rsidR="00172D83" w:rsidRPr="0001061D">
        <w:rPr>
          <w:sz w:val="22"/>
          <w:szCs w:val="22"/>
        </w:rPr>
        <w:t>), which</w:t>
      </w:r>
      <w:r w:rsidR="00B56501">
        <w:rPr>
          <w:sz w:val="22"/>
          <w:szCs w:val="22"/>
        </w:rPr>
        <w:t>, based on traditional knowledge</w:t>
      </w:r>
      <w:r w:rsidR="00172D83" w:rsidRPr="0001061D">
        <w:rPr>
          <w:sz w:val="22"/>
          <w:szCs w:val="22"/>
        </w:rPr>
        <w:t xml:space="preserve"> has been shown to have</w:t>
      </w:r>
      <w:r w:rsidR="004E3F69" w:rsidRPr="0001061D">
        <w:rPr>
          <w:sz w:val="22"/>
          <w:szCs w:val="22"/>
        </w:rPr>
        <w:t xml:space="preserve"> bone and</w:t>
      </w:r>
      <w:r w:rsidR="00172D83" w:rsidRPr="0001061D">
        <w:rPr>
          <w:sz w:val="22"/>
          <w:szCs w:val="22"/>
        </w:rPr>
        <w:t xml:space="preserve"> ca</w:t>
      </w:r>
      <w:r w:rsidR="004E3F69" w:rsidRPr="0001061D">
        <w:rPr>
          <w:sz w:val="22"/>
          <w:szCs w:val="22"/>
        </w:rPr>
        <w:t>rtilage regeneration properties so that the active chemical can</w:t>
      </w:r>
      <w:r w:rsidR="00D202CB">
        <w:rPr>
          <w:sz w:val="22"/>
          <w:szCs w:val="22"/>
        </w:rPr>
        <w:t xml:space="preserve"> </w:t>
      </w:r>
      <w:r w:rsidR="00172D83" w:rsidRPr="0001061D">
        <w:rPr>
          <w:sz w:val="22"/>
          <w:szCs w:val="22"/>
        </w:rPr>
        <w:t>meet international standards</w:t>
      </w:r>
      <w:r w:rsidR="004E3F69" w:rsidRPr="0001061D">
        <w:rPr>
          <w:sz w:val="22"/>
          <w:szCs w:val="22"/>
        </w:rPr>
        <w:t xml:space="preserve">. </w:t>
      </w:r>
      <w:r w:rsidR="009B437B">
        <w:rPr>
          <w:sz w:val="22"/>
          <w:szCs w:val="22"/>
        </w:rPr>
        <w:t xml:space="preserve">The existing ABS agreement between CIMTECH and </w:t>
      </w:r>
      <w:proofErr w:type="spellStart"/>
      <w:r w:rsidR="009B437B">
        <w:rPr>
          <w:sz w:val="22"/>
          <w:szCs w:val="22"/>
        </w:rPr>
        <w:t>Koutu</w:t>
      </w:r>
      <w:proofErr w:type="spellEnd"/>
      <w:r w:rsidR="009B437B">
        <w:rPr>
          <w:sz w:val="22"/>
          <w:szCs w:val="22"/>
        </w:rPr>
        <w:t xml:space="preserve"> Nui will be rev</w:t>
      </w:r>
      <w:r w:rsidR="009B437B" w:rsidRPr="00193942">
        <w:rPr>
          <w:sz w:val="22"/>
          <w:szCs w:val="22"/>
        </w:rPr>
        <w:t xml:space="preserve">isited and revised in order to ensure that it is in line with the new ABS Act and legal provisions are included ensuring a percentage of the funds received by the </w:t>
      </w:r>
      <w:proofErr w:type="spellStart"/>
      <w:r w:rsidR="009B437B" w:rsidRPr="00193942">
        <w:rPr>
          <w:sz w:val="22"/>
          <w:szCs w:val="22"/>
        </w:rPr>
        <w:t>Koutu</w:t>
      </w:r>
      <w:proofErr w:type="spellEnd"/>
      <w:r w:rsidR="009B437B" w:rsidRPr="00193942">
        <w:rPr>
          <w:sz w:val="22"/>
          <w:szCs w:val="22"/>
        </w:rPr>
        <w:t xml:space="preserve"> Nui is reinvested in the conservation of </w:t>
      </w:r>
      <w:r w:rsidR="000E730D" w:rsidRPr="00193942">
        <w:rPr>
          <w:sz w:val="22"/>
          <w:szCs w:val="22"/>
        </w:rPr>
        <w:t>biodiversity</w:t>
      </w:r>
      <w:r w:rsidR="009B437B" w:rsidRPr="00193942">
        <w:rPr>
          <w:sz w:val="22"/>
          <w:szCs w:val="22"/>
        </w:rPr>
        <w:t>. Further, t</w:t>
      </w:r>
      <w:r w:rsidR="004E3F69" w:rsidRPr="00193942">
        <w:rPr>
          <w:sz w:val="22"/>
          <w:szCs w:val="22"/>
        </w:rPr>
        <w:t>he project will assist in the development of</w:t>
      </w:r>
      <w:r w:rsidR="00172D83" w:rsidRPr="00193942">
        <w:rPr>
          <w:sz w:val="22"/>
          <w:szCs w:val="22"/>
        </w:rPr>
        <w:t xml:space="preserve"> </w:t>
      </w:r>
      <w:r w:rsidR="004E3F69" w:rsidRPr="00193942">
        <w:rPr>
          <w:sz w:val="22"/>
          <w:szCs w:val="22"/>
        </w:rPr>
        <w:t>protocols for extraction and standardization of active compou</w:t>
      </w:r>
      <w:r w:rsidR="004E3F69" w:rsidRPr="0001061D">
        <w:rPr>
          <w:sz w:val="22"/>
          <w:szCs w:val="22"/>
        </w:rPr>
        <w:t xml:space="preserve">nds from </w:t>
      </w:r>
      <w:r w:rsidR="004E3F69" w:rsidRPr="00D202CB">
        <w:rPr>
          <w:i/>
          <w:sz w:val="22"/>
          <w:szCs w:val="22"/>
        </w:rPr>
        <w:t>"Au"</w:t>
      </w:r>
      <w:r w:rsidR="004E3F69" w:rsidRPr="0001061D">
        <w:rPr>
          <w:sz w:val="22"/>
          <w:szCs w:val="22"/>
        </w:rPr>
        <w:t xml:space="preserve">, and to undertake toxicological trials </w:t>
      </w:r>
      <w:r w:rsidR="00D202CB">
        <w:rPr>
          <w:sz w:val="22"/>
          <w:szCs w:val="22"/>
        </w:rPr>
        <w:t xml:space="preserve">to </w:t>
      </w:r>
      <w:r w:rsidR="004E3F69" w:rsidRPr="0001061D">
        <w:rPr>
          <w:sz w:val="22"/>
          <w:szCs w:val="22"/>
        </w:rPr>
        <w:t xml:space="preserve">ensure safety of the extract for therapeutic applications. The project will also </w:t>
      </w:r>
      <w:r w:rsidR="002D2133" w:rsidRPr="0001061D">
        <w:rPr>
          <w:sz w:val="22"/>
          <w:szCs w:val="22"/>
        </w:rPr>
        <w:t xml:space="preserve">support studies on the safety and toxicological studies on the active extracts </w:t>
      </w:r>
      <w:r w:rsidR="002D37D5" w:rsidRPr="0001061D">
        <w:rPr>
          <w:sz w:val="22"/>
          <w:szCs w:val="22"/>
        </w:rPr>
        <w:t>and on</w:t>
      </w:r>
      <w:r w:rsidR="004E3F69" w:rsidRPr="0001061D">
        <w:rPr>
          <w:sz w:val="22"/>
          <w:szCs w:val="22"/>
        </w:rPr>
        <w:t xml:space="preserve"> the efficacy of the extract in bone defect and bone grafting to prove the therapeutic effect of the extract.</w:t>
      </w:r>
      <w:r w:rsidR="002D37D5" w:rsidRPr="0001061D">
        <w:rPr>
          <w:sz w:val="22"/>
          <w:szCs w:val="22"/>
        </w:rPr>
        <w:t xml:space="preserve"> CIMTECH will support the design of extraction processes and provision of specialized equipment and technology transfer; toxicology and safety studies required to allow the production of Material Safety </w:t>
      </w:r>
      <w:r w:rsidR="00074209">
        <w:rPr>
          <w:sz w:val="22"/>
          <w:szCs w:val="22"/>
        </w:rPr>
        <w:t>Data Sheet; d</w:t>
      </w:r>
      <w:r w:rsidR="002D37D5" w:rsidRPr="0001061D">
        <w:rPr>
          <w:sz w:val="22"/>
          <w:szCs w:val="22"/>
        </w:rPr>
        <w:t xml:space="preserve">esign the infrastructure and equipment required to scale up the process. </w:t>
      </w:r>
      <w:r w:rsidR="007510CE" w:rsidRPr="0001061D">
        <w:rPr>
          <w:sz w:val="22"/>
          <w:szCs w:val="22"/>
        </w:rPr>
        <w:t>It will further d</w:t>
      </w:r>
      <w:r w:rsidR="002D37D5" w:rsidRPr="0001061D">
        <w:rPr>
          <w:sz w:val="22"/>
          <w:szCs w:val="22"/>
        </w:rPr>
        <w:t xml:space="preserve">esign the markers of efficacy and the laboratory processes required to identify and characterize the standard </w:t>
      </w:r>
      <w:r w:rsidR="007510CE" w:rsidRPr="0001061D">
        <w:rPr>
          <w:sz w:val="22"/>
          <w:szCs w:val="22"/>
        </w:rPr>
        <w:t>of</w:t>
      </w:r>
      <w:r w:rsidR="002D37D5" w:rsidRPr="0001061D">
        <w:rPr>
          <w:sz w:val="22"/>
          <w:szCs w:val="22"/>
        </w:rPr>
        <w:t xml:space="preserve"> extract</w:t>
      </w:r>
      <w:r w:rsidR="0092249B" w:rsidRPr="0001061D">
        <w:rPr>
          <w:sz w:val="22"/>
          <w:szCs w:val="22"/>
        </w:rPr>
        <w:t>, and</w:t>
      </w:r>
      <w:r w:rsidR="002D37D5" w:rsidRPr="0001061D">
        <w:rPr>
          <w:sz w:val="22"/>
          <w:szCs w:val="22"/>
        </w:rPr>
        <w:t xml:space="preserve"> </w:t>
      </w:r>
      <w:r w:rsidR="007510CE" w:rsidRPr="0001061D">
        <w:rPr>
          <w:sz w:val="22"/>
          <w:szCs w:val="22"/>
        </w:rPr>
        <w:t>d</w:t>
      </w:r>
      <w:r w:rsidR="002D37D5" w:rsidRPr="0001061D">
        <w:rPr>
          <w:sz w:val="22"/>
          <w:szCs w:val="22"/>
        </w:rPr>
        <w:t>esign and oversee the preclinical and analytical studies and develop correlation to</w:t>
      </w:r>
      <w:r w:rsidR="00D202CB">
        <w:rPr>
          <w:sz w:val="22"/>
          <w:szCs w:val="22"/>
        </w:rPr>
        <w:t xml:space="preserve"> chemical markers of efficacy. </w:t>
      </w:r>
      <w:r w:rsidR="002D37D5" w:rsidRPr="0001061D">
        <w:rPr>
          <w:sz w:val="22"/>
          <w:szCs w:val="22"/>
        </w:rPr>
        <w:t>Matheson Enterprises will support the installation of equipment, implementation and refining of processes; production of</w:t>
      </w:r>
      <w:r w:rsidR="00310B5A">
        <w:rPr>
          <w:sz w:val="22"/>
          <w:szCs w:val="22"/>
        </w:rPr>
        <w:t xml:space="preserve"> the prototypes for the studies</w:t>
      </w:r>
      <w:r w:rsidR="002D37D5" w:rsidRPr="0001061D">
        <w:rPr>
          <w:sz w:val="22"/>
          <w:szCs w:val="22"/>
        </w:rPr>
        <w:t>; installation and implementation of the laboratory processes required to identify and characterize the standard of the extract. The</w:t>
      </w:r>
      <w:r w:rsidR="007510CE" w:rsidRPr="0001061D">
        <w:rPr>
          <w:sz w:val="22"/>
          <w:szCs w:val="22"/>
        </w:rPr>
        <w:t>se, along with GEF support, will ensure that Cook Islands is able to process the chemicals in country, which is currently lacking, as opposed to</w:t>
      </w:r>
      <w:r w:rsidR="002D37D5" w:rsidRPr="0001061D">
        <w:rPr>
          <w:sz w:val="22"/>
          <w:szCs w:val="22"/>
        </w:rPr>
        <w:t xml:space="preserve"> export</w:t>
      </w:r>
      <w:r w:rsidR="007510CE" w:rsidRPr="0001061D">
        <w:rPr>
          <w:sz w:val="22"/>
          <w:szCs w:val="22"/>
        </w:rPr>
        <w:t>ing the</w:t>
      </w:r>
      <w:r w:rsidR="002D37D5" w:rsidRPr="0001061D">
        <w:rPr>
          <w:sz w:val="22"/>
          <w:szCs w:val="22"/>
        </w:rPr>
        <w:t xml:space="preserve"> raw plant material</w:t>
      </w:r>
      <w:r w:rsidR="007510CE" w:rsidRPr="0001061D">
        <w:rPr>
          <w:sz w:val="22"/>
          <w:szCs w:val="22"/>
        </w:rPr>
        <w:t xml:space="preserve"> abroad</w:t>
      </w:r>
      <w:r w:rsidR="002D37D5" w:rsidRPr="0001061D">
        <w:rPr>
          <w:sz w:val="22"/>
          <w:szCs w:val="22"/>
        </w:rPr>
        <w:t xml:space="preserve">, </w:t>
      </w:r>
      <w:r w:rsidR="007510CE" w:rsidRPr="0001061D">
        <w:rPr>
          <w:sz w:val="22"/>
          <w:szCs w:val="22"/>
        </w:rPr>
        <w:t>which will also reduce the</w:t>
      </w:r>
      <w:r w:rsidR="002D37D5" w:rsidRPr="0001061D">
        <w:rPr>
          <w:sz w:val="22"/>
          <w:szCs w:val="22"/>
        </w:rPr>
        <w:t xml:space="preserve"> risk </w:t>
      </w:r>
      <w:r w:rsidR="00D202CB">
        <w:rPr>
          <w:sz w:val="22"/>
          <w:szCs w:val="22"/>
        </w:rPr>
        <w:t xml:space="preserve">of </w:t>
      </w:r>
      <w:r w:rsidR="002D37D5" w:rsidRPr="0001061D">
        <w:rPr>
          <w:sz w:val="22"/>
          <w:szCs w:val="22"/>
        </w:rPr>
        <w:t>loss</w:t>
      </w:r>
      <w:r w:rsidR="007510CE" w:rsidRPr="0001061D">
        <w:rPr>
          <w:sz w:val="22"/>
          <w:szCs w:val="22"/>
        </w:rPr>
        <w:t xml:space="preserve"> of chemical characteristics of the plant material</w:t>
      </w:r>
      <w:r w:rsidR="002D37D5" w:rsidRPr="0001061D">
        <w:rPr>
          <w:sz w:val="22"/>
          <w:szCs w:val="22"/>
        </w:rPr>
        <w:t>.</w:t>
      </w:r>
      <w:r w:rsidR="00ED46CE">
        <w:rPr>
          <w:sz w:val="22"/>
          <w:szCs w:val="22"/>
        </w:rPr>
        <w:t xml:space="preserve"> L</w:t>
      </w:r>
      <w:r w:rsidR="008C7B7B" w:rsidRPr="0001061D">
        <w:rPr>
          <w:rFonts w:eastAsia="Calibri"/>
          <w:sz w:val="22"/>
          <w:szCs w:val="22"/>
        </w:rPr>
        <w:t xml:space="preserve">ocal communities’ capacities </w:t>
      </w:r>
      <w:r w:rsidR="00ED46CE">
        <w:rPr>
          <w:rFonts w:eastAsia="Calibri"/>
          <w:sz w:val="22"/>
          <w:szCs w:val="22"/>
        </w:rPr>
        <w:t xml:space="preserve">will be </w:t>
      </w:r>
      <w:r w:rsidR="008C7B7B" w:rsidRPr="0001061D">
        <w:rPr>
          <w:rFonts w:eastAsia="Calibri"/>
          <w:sz w:val="22"/>
          <w:szCs w:val="22"/>
        </w:rPr>
        <w:t xml:space="preserve">strengthened on sustainable cultivation/ collection of </w:t>
      </w:r>
      <w:r w:rsidR="008C7B7B" w:rsidRPr="0001061D">
        <w:rPr>
          <w:rFonts w:eastAsia="Calibri"/>
          <w:i/>
          <w:iCs/>
          <w:sz w:val="22"/>
          <w:szCs w:val="22"/>
        </w:rPr>
        <w:t xml:space="preserve">Hibiscus </w:t>
      </w:r>
      <w:proofErr w:type="spellStart"/>
      <w:r w:rsidR="008C7B7B" w:rsidRPr="0001061D">
        <w:rPr>
          <w:rFonts w:eastAsia="Calibri"/>
          <w:i/>
          <w:iCs/>
          <w:sz w:val="22"/>
          <w:szCs w:val="22"/>
        </w:rPr>
        <w:t>tiliaceus</w:t>
      </w:r>
      <w:proofErr w:type="spellEnd"/>
      <w:r w:rsidR="0037125A" w:rsidRPr="0001061D">
        <w:rPr>
          <w:rFonts w:eastAsia="Calibri"/>
          <w:i/>
          <w:iCs/>
          <w:sz w:val="22"/>
          <w:szCs w:val="22"/>
        </w:rPr>
        <w:t xml:space="preserve"> </w:t>
      </w:r>
      <w:r w:rsidR="0037125A" w:rsidRPr="00ED46CE">
        <w:rPr>
          <w:rFonts w:eastAsia="Calibri"/>
          <w:iCs/>
          <w:sz w:val="22"/>
          <w:szCs w:val="22"/>
        </w:rPr>
        <w:t xml:space="preserve">through </w:t>
      </w:r>
      <w:r w:rsidR="0037125A" w:rsidRPr="00ED46CE">
        <w:rPr>
          <w:sz w:val="22"/>
          <w:szCs w:val="22"/>
        </w:rPr>
        <w:t>the</w:t>
      </w:r>
      <w:r w:rsidR="0037125A" w:rsidRPr="0001061D">
        <w:rPr>
          <w:sz w:val="22"/>
          <w:szCs w:val="22"/>
        </w:rPr>
        <w:t xml:space="preserve"> </w:t>
      </w:r>
      <w:r w:rsidR="0037125A" w:rsidRPr="0001061D">
        <w:rPr>
          <w:rFonts w:eastAsia="Calibri"/>
          <w:sz w:val="22"/>
          <w:szCs w:val="22"/>
        </w:rPr>
        <w:t>d</w:t>
      </w:r>
      <w:r w:rsidR="008C7B7B" w:rsidRPr="0001061D">
        <w:rPr>
          <w:rFonts w:eastAsia="Calibri"/>
          <w:sz w:val="22"/>
          <w:szCs w:val="22"/>
        </w:rPr>
        <w:t xml:space="preserve">evelopment of guidelines and oversight </w:t>
      </w:r>
      <w:r w:rsidR="0037125A" w:rsidRPr="0001061D">
        <w:rPr>
          <w:rFonts w:eastAsia="Calibri"/>
          <w:sz w:val="22"/>
          <w:szCs w:val="22"/>
        </w:rPr>
        <w:t>of the</w:t>
      </w:r>
      <w:r w:rsidR="008C7B7B" w:rsidRPr="0001061D">
        <w:rPr>
          <w:rFonts w:eastAsia="Calibri"/>
          <w:sz w:val="22"/>
          <w:szCs w:val="22"/>
        </w:rPr>
        <w:t xml:space="preserve"> </w:t>
      </w:r>
      <w:r w:rsidR="008C7B7B" w:rsidRPr="0001061D">
        <w:rPr>
          <w:sz w:val="22"/>
          <w:szCs w:val="22"/>
        </w:rPr>
        <w:t xml:space="preserve">collection and cultivation regimes for </w:t>
      </w:r>
      <w:r w:rsidR="008C7B7B" w:rsidRPr="0001061D">
        <w:rPr>
          <w:i/>
          <w:sz w:val="22"/>
          <w:szCs w:val="22"/>
        </w:rPr>
        <w:t xml:space="preserve">H </w:t>
      </w:r>
      <w:proofErr w:type="spellStart"/>
      <w:r w:rsidR="008C7B7B" w:rsidRPr="0001061D">
        <w:rPr>
          <w:i/>
          <w:sz w:val="22"/>
          <w:szCs w:val="22"/>
        </w:rPr>
        <w:t>tiliaceus</w:t>
      </w:r>
      <w:proofErr w:type="spellEnd"/>
      <w:r w:rsidR="0037125A" w:rsidRPr="0001061D">
        <w:rPr>
          <w:i/>
          <w:sz w:val="22"/>
          <w:szCs w:val="22"/>
        </w:rPr>
        <w:t xml:space="preserve">, </w:t>
      </w:r>
      <w:r w:rsidR="0037125A" w:rsidRPr="0001061D">
        <w:rPr>
          <w:sz w:val="22"/>
          <w:szCs w:val="22"/>
        </w:rPr>
        <w:t xml:space="preserve">as well as </w:t>
      </w:r>
      <w:r w:rsidR="00507688" w:rsidRPr="0001061D">
        <w:rPr>
          <w:sz w:val="22"/>
          <w:szCs w:val="22"/>
        </w:rPr>
        <w:t>through the</w:t>
      </w:r>
      <w:r w:rsidR="0037125A" w:rsidRPr="0001061D">
        <w:rPr>
          <w:sz w:val="22"/>
          <w:szCs w:val="22"/>
        </w:rPr>
        <w:t xml:space="preserve"> development and use of</w:t>
      </w:r>
      <w:r w:rsidR="008C7B7B" w:rsidRPr="0001061D">
        <w:rPr>
          <w:sz w:val="22"/>
          <w:szCs w:val="22"/>
        </w:rPr>
        <w:t xml:space="preserve"> </w:t>
      </w:r>
      <w:r w:rsidR="0037125A" w:rsidRPr="0001061D">
        <w:rPr>
          <w:sz w:val="22"/>
          <w:szCs w:val="22"/>
        </w:rPr>
        <w:t>a d</w:t>
      </w:r>
      <w:r w:rsidR="008C7B7B" w:rsidRPr="0001061D">
        <w:rPr>
          <w:sz w:val="22"/>
          <w:szCs w:val="22"/>
        </w:rPr>
        <w:t>efined certification process for refined extract for export</w:t>
      </w:r>
      <w:r w:rsidR="0037125A" w:rsidRPr="0001061D">
        <w:rPr>
          <w:sz w:val="22"/>
          <w:szCs w:val="22"/>
        </w:rPr>
        <w:t>.</w:t>
      </w:r>
      <w:r w:rsidR="00507688" w:rsidRPr="0001061D">
        <w:rPr>
          <w:sz w:val="22"/>
          <w:szCs w:val="22"/>
        </w:rPr>
        <w:t xml:space="preserve"> The project will also support an analysis of marketing opportunities for the extract through m</w:t>
      </w:r>
      <w:r w:rsidR="008C7B7B" w:rsidRPr="0001061D">
        <w:rPr>
          <w:sz w:val="22"/>
          <w:szCs w:val="22"/>
        </w:rPr>
        <w:t>arket analysis and development (internationally)</w:t>
      </w:r>
      <w:r w:rsidR="00507688" w:rsidRPr="0001061D">
        <w:rPr>
          <w:sz w:val="22"/>
          <w:szCs w:val="22"/>
        </w:rPr>
        <w:t xml:space="preserve">. The project will work with </w:t>
      </w:r>
      <w:r w:rsidR="003A4CDF" w:rsidRPr="0001061D">
        <w:rPr>
          <w:sz w:val="22"/>
          <w:szCs w:val="22"/>
        </w:rPr>
        <w:t>landowners</w:t>
      </w:r>
      <w:r w:rsidR="00065FE8" w:rsidRPr="0001061D">
        <w:rPr>
          <w:sz w:val="22"/>
          <w:szCs w:val="22"/>
        </w:rPr>
        <w:t xml:space="preserve">, growers and national heritage groups to devise </w:t>
      </w:r>
      <w:r w:rsidR="00507688" w:rsidRPr="0001061D">
        <w:rPr>
          <w:sz w:val="22"/>
          <w:szCs w:val="22"/>
        </w:rPr>
        <w:t xml:space="preserve">sustainable cultivation and </w:t>
      </w:r>
      <w:r w:rsidR="00507688" w:rsidRPr="00193942">
        <w:rPr>
          <w:sz w:val="22"/>
          <w:szCs w:val="22"/>
        </w:rPr>
        <w:t>harvesting</w:t>
      </w:r>
      <w:r w:rsidR="00065FE8" w:rsidRPr="00193942">
        <w:rPr>
          <w:sz w:val="22"/>
          <w:szCs w:val="22"/>
        </w:rPr>
        <w:t xml:space="preserve"> plans.</w:t>
      </w:r>
      <w:r w:rsidR="00507688" w:rsidRPr="00193942">
        <w:rPr>
          <w:sz w:val="22"/>
          <w:szCs w:val="22"/>
        </w:rPr>
        <w:t xml:space="preserve"> The project will also support </w:t>
      </w:r>
      <w:r w:rsidR="003A4CDF" w:rsidRPr="00193942">
        <w:rPr>
          <w:sz w:val="22"/>
          <w:szCs w:val="22"/>
        </w:rPr>
        <w:t>the establishment</w:t>
      </w:r>
      <w:r w:rsidR="00065FE8" w:rsidRPr="00193942">
        <w:rPr>
          <w:sz w:val="22"/>
          <w:szCs w:val="22"/>
        </w:rPr>
        <w:t xml:space="preserve"> of reporting and control of plant use an</w:t>
      </w:r>
      <w:r w:rsidR="00507688" w:rsidRPr="00193942">
        <w:rPr>
          <w:sz w:val="22"/>
          <w:szCs w:val="22"/>
        </w:rPr>
        <w:t xml:space="preserve">d disposal of processed plants, as well as </w:t>
      </w:r>
      <w:r w:rsidR="003A4CDF" w:rsidRPr="00193942">
        <w:rPr>
          <w:sz w:val="22"/>
          <w:szCs w:val="22"/>
        </w:rPr>
        <w:t>an accreditation</w:t>
      </w:r>
      <w:r w:rsidR="00065FE8" w:rsidRPr="00193942">
        <w:rPr>
          <w:sz w:val="22"/>
          <w:szCs w:val="22"/>
        </w:rPr>
        <w:t xml:space="preserve"> system, </w:t>
      </w:r>
      <w:r w:rsidR="00507688" w:rsidRPr="00193942">
        <w:rPr>
          <w:sz w:val="22"/>
          <w:szCs w:val="22"/>
        </w:rPr>
        <w:t xml:space="preserve">and the </w:t>
      </w:r>
      <w:r w:rsidR="00065FE8" w:rsidRPr="00193942">
        <w:rPr>
          <w:sz w:val="22"/>
          <w:szCs w:val="22"/>
        </w:rPr>
        <w:t>development of certification fees and charges</w:t>
      </w:r>
      <w:r w:rsidR="00507688" w:rsidRPr="00193942">
        <w:rPr>
          <w:sz w:val="22"/>
          <w:szCs w:val="22"/>
        </w:rPr>
        <w:t>. Sustainability of plant use will be done through m</w:t>
      </w:r>
      <w:r w:rsidR="00065FE8" w:rsidRPr="00193942">
        <w:rPr>
          <w:sz w:val="22"/>
          <w:szCs w:val="22"/>
        </w:rPr>
        <w:t xml:space="preserve">odelling of the impacts of plant </w:t>
      </w:r>
      <w:r w:rsidR="00507688" w:rsidRPr="00193942">
        <w:rPr>
          <w:sz w:val="22"/>
          <w:szCs w:val="22"/>
        </w:rPr>
        <w:t>utilization</w:t>
      </w:r>
      <w:r w:rsidR="00065FE8" w:rsidRPr="00193942">
        <w:rPr>
          <w:sz w:val="22"/>
          <w:szCs w:val="22"/>
        </w:rPr>
        <w:t xml:space="preserve"> rates, replacement rates and the impact on the environment. Analysis of the various plant populations and correlation to efficacy markers</w:t>
      </w:r>
      <w:r w:rsidR="00507688" w:rsidRPr="00193942">
        <w:rPr>
          <w:sz w:val="22"/>
          <w:szCs w:val="22"/>
        </w:rPr>
        <w:t xml:space="preserve"> will also be undertaken</w:t>
      </w:r>
      <w:r w:rsidR="00ED46CE" w:rsidRPr="00193942">
        <w:rPr>
          <w:sz w:val="22"/>
          <w:szCs w:val="22"/>
        </w:rPr>
        <w:t xml:space="preserve">. </w:t>
      </w:r>
      <w:r w:rsidR="00310B5A" w:rsidRPr="00193942">
        <w:rPr>
          <w:sz w:val="22"/>
          <w:szCs w:val="22"/>
        </w:rPr>
        <w:t xml:space="preserve">Efficacy markers are biochemical or physical </w:t>
      </w:r>
      <w:r w:rsidR="00310B5A" w:rsidRPr="00193942">
        <w:rPr>
          <w:sz w:val="22"/>
          <w:szCs w:val="22"/>
        </w:rPr>
        <w:lastRenderedPageBreak/>
        <w:t xml:space="preserve">characteristics that can be measured and correlated with biological activity, in order to be used as a simple real time means to track efficacy of production. </w:t>
      </w:r>
      <w:r w:rsidR="00065FE8" w:rsidRPr="00193942">
        <w:rPr>
          <w:sz w:val="22"/>
          <w:szCs w:val="22"/>
        </w:rPr>
        <w:t xml:space="preserve">Analysis of soil characteristics and the effect </w:t>
      </w:r>
      <w:r w:rsidR="00310B5A" w:rsidRPr="00193942">
        <w:rPr>
          <w:sz w:val="22"/>
          <w:szCs w:val="22"/>
        </w:rPr>
        <w:t xml:space="preserve">this has </w:t>
      </w:r>
      <w:r w:rsidR="00065FE8" w:rsidRPr="00193942">
        <w:rPr>
          <w:sz w:val="22"/>
          <w:szCs w:val="22"/>
        </w:rPr>
        <w:t>on efficacy markers</w:t>
      </w:r>
      <w:r w:rsidR="00507688" w:rsidRPr="0001061D">
        <w:rPr>
          <w:sz w:val="22"/>
          <w:szCs w:val="22"/>
        </w:rPr>
        <w:t xml:space="preserve"> will also be </w:t>
      </w:r>
      <w:r w:rsidR="003A4CDF" w:rsidRPr="0001061D">
        <w:rPr>
          <w:sz w:val="22"/>
          <w:szCs w:val="22"/>
        </w:rPr>
        <w:t>analysed</w:t>
      </w:r>
      <w:r w:rsidR="00507688" w:rsidRPr="0001061D">
        <w:rPr>
          <w:sz w:val="22"/>
          <w:szCs w:val="22"/>
        </w:rPr>
        <w:t xml:space="preserve">. These will help to establish </w:t>
      </w:r>
      <w:r w:rsidR="00065FE8" w:rsidRPr="0001061D">
        <w:rPr>
          <w:sz w:val="22"/>
          <w:szCs w:val="22"/>
        </w:rPr>
        <w:t>a scientific basis for the monitoring and control of the harvesting of the plant species at the outset</w:t>
      </w:r>
      <w:r w:rsidR="00507688" w:rsidRPr="0001061D">
        <w:rPr>
          <w:sz w:val="22"/>
          <w:szCs w:val="22"/>
        </w:rPr>
        <w:t>, and will allow</w:t>
      </w:r>
      <w:r w:rsidR="00065FE8" w:rsidRPr="0001061D">
        <w:rPr>
          <w:sz w:val="22"/>
          <w:szCs w:val="22"/>
        </w:rPr>
        <w:t xml:space="preserve"> for a more targeted and sustainable approach to supply and sustainability of the value chain, reducing guesswork and improving the acceptance of all environmental controls.</w:t>
      </w:r>
      <w:r w:rsidR="00507688" w:rsidRPr="0001061D">
        <w:rPr>
          <w:sz w:val="22"/>
          <w:szCs w:val="22"/>
        </w:rPr>
        <w:t xml:space="preserve"> The GEF support would also greatly </w:t>
      </w:r>
      <w:r w:rsidR="00507688" w:rsidRPr="00193942">
        <w:rPr>
          <w:sz w:val="22"/>
          <w:szCs w:val="22"/>
        </w:rPr>
        <w:t xml:space="preserve">enhance the certification process </w:t>
      </w:r>
      <w:r w:rsidR="000E730D" w:rsidRPr="00193942">
        <w:rPr>
          <w:sz w:val="22"/>
          <w:szCs w:val="22"/>
        </w:rPr>
        <w:t xml:space="preserve">of extracts for export </w:t>
      </w:r>
      <w:r w:rsidR="00507688" w:rsidRPr="00193942">
        <w:rPr>
          <w:sz w:val="22"/>
          <w:szCs w:val="22"/>
        </w:rPr>
        <w:t xml:space="preserve">so that it is </w:t>
      </w:r>
      <w:r w:rsidR="00065FE8" w:rsidRPr="00193942">
        <w:rPr>
          <w:sz w:val="22"/>
          <w:szCs w:val="22"/>
        </w:rPr>
        <w:t xml:space="preserve">well designed and internationally acknowledged </w:t>
      </w:r>
      <w:r w:rsidR="00507688" w:rsidRPr="00193942">
        <w:rPr>
          <w:sz w:val="22"/>
          <w:szCs w:val="22"/>
        </w:rPr>
        <w:t>and</w:t>
      </w:r>
      <w:r w:rsidR="00507688" w:rsidRPr="0001061D">
        <w:rPr>
          <w:sz w:val="22"/>
          <w:szCs w:val="22"/>
        </w:rPr>
        <w:t xml:space="preserve"> fully </w:t>
      </w:r>
      <w:r w:rsidR="00065FE8" w:rsidRPr="0001061D">
        <w:rPr>
          <w:sz w:val="22"/>
          <w:szCs w:val="22"/>
        </w:rPr>
        <w:t xml:space="preserve">compliant with the Nagoya Protocol, Cook Islands cultural requirements, </w:t>
      </w:r>
      <w:r w:rsidR="00507688" w:rsidRPr="0001061D">
        <w:rPr>
          <w:sz w:val="22"/>
          <w:szCs w:val="22"/>
        </w:rPr>
        <w:t xml:space="preserve">and </w:t>
      </w:r>
      <w:r w:rsidR="00065FE8" w:rsidRPr="0001061D">
        <w:rPr>
          <w:sz w:val="22"/>
          <w:szCs w:val="22"/>
        </w:rPr>
        <w:t>environmental standards</w:t>
      </w:r>
      <w:r w:rsidR="00507688" w:rsidRPr="0001061D">
        <w:rPr>
          <w:sz w:val="22"/>
          <w:szCs w:val="22"/>
        </w:rPr>
        <w:t xml:space="preserve">. </w:t>
      </w:r>
    </w:p>
    <w:bookmarkEnd w:id="4"/>
    <w:p w:rsidR="00396FDE" w:rsidRDefault="00396FDE" w:rsidP="00606431">
      <w:pPr>
        <w:tabs>
          <w:tab w:val="left" w:pos="540"/>
        </w:tabs>
        <w:jc w:val="both"/>
        <w:rPr>
          <w:b/>
          <w:sz w:val="20"/>
          <w:szCs w:val="20"/>
          <w:u w:val="single"/>
        </w:rPr>
      </w:pPr>
    </w:p>
    <w:p w:rsidR="00396FDE" w:rsidRDefault="00396FDE" w:rsidP="00606431">
      <w:pPr>
        <w:jc w:val="both"/>
        <w:rPr>
          <w:sz w:val="22"/>
          <w:szCs w:val="22"/>
        </w:rPr>
      </w:pPr>
      <w:r w:rsidRPr="00396FDE">
        <w:rPr>
          <w:b/>
          <w:sz w:val="22"/>
          <w:szCs w:val="22"/>
        </w:rPr>
        <w:t>Global environmental benefits:</w:t>
      </w:r>
      <w:r>
        <w:rPr>
          <w:sz w:val="22"/>
          <w:szCs w:val="22"/>
        </w:rPr>
        <w:t xml:space="preserve"> The project will contribute significantly towards conservation and sustainable management of the Cook Islands’ genetic and biological diversity which has evolved </w:t>
      </w:r>
      <w:r w:rsidR="00EE5207">
        <w:rPr>
          <w:sz w:val="22"/>
          <w:szCs w:val="22"/>
        </w:rPr>
        <w:t xml:space="preserve">due </w:t>
      </w:r>
      <w:r>
        <w:rPr>
          <w:sz w:val="22"/>
          <w:szCs w:val="22"/>
        </w:rPr>
        <w:t>to its remotenes</w:t>
      </w:r>
      <w:r w:rsidR="004F1D40">
        <w:rPr>
          <w:sz w:val="22"/>
          <w:szCs w:val="22"/>
        </w:rPr>
        <w:t xml:space="preserve">s, as well as promote and lead to the conservation of the traditional knowledge </w:t>
      </w:r>
      <w:r w:rsidR="00EE5207">
        <w:rPr>
          <w:sz w:val="22"/>
          <w:szCs w:val="22"/>
        </w:rPr>
        <w:t>of</w:t>
      </w:r>
      <w:r w:rsidR="004F1D40">
        <w:rPr>
          <w:sz w:val="22"/>
          <w:szCs w:val="22"/>
        </w:rPr>
        <w:t xml:space="preserve"> the uses of these resources. The conservation of the knowledge and its promotion into modern medicinal practices will be directly linked to the conservation of the resources through the project. By developing the national ABS framework</w:t>
      </w:r>
      <w:r w:rsidR="00EE5207">
        <w:rPr>
          <w:sz w:val="22"/>
          <w:szCs w:val="22"/>
        </w:rPr>
        <w:t xml:space="preserve"> and capacity</w:t>
      </w:r>
      <w:r w:rsidR="004F1D40">
        <w:rPr>
          <w:sz w:val="22"/>
          <w:szCs w:val="22"/>
        </w:rPr>
        <w:t xml:space="preserve"> and piloting Nagoya Protocol compliant ABS agreements, the project will facilitate sustainable and most cost-effective use of biological resources and ensure that the benefits will accrue to the nation and its people. Thus, the project will play a critical role in safeguarding the country’s biological resources and their genetic diversity.</w:t>
      </w:r>
    </w:p>
    <w:p w:rsidR="00396FDE" w:rsidRDefault="00396FDE" w:rsidP="00606431">
      <w:pPr>
        <w:jc w:val="both"/>
        <w:rPr>
          <w:sz w:val="22"/>
          <w:szCs w:val="22"/>
        </w:rPr>
      </w:pPr>
    </w:p>
    <w:p w:rsidR="00774836" w:rsidRPr="0001061D" w:rsidRDefault="004D4FA5" w:rsidP="004F1D40">
      <w:pPr>
        <w:jc w:val="both"/>
        <w:rPr>
          <w:sz w:val="22"/>
          <w:szCs w:val="22"/>
        </w:rPr>
      </w:pPr>
      <w:r w:rsidRPr="0001061D">
        <w:rPr>
          <w:b/>
          <w:sz w:val="22"/>
          <w:szCs w:val="22"/>
        </w:rPr>
        <w:t xml:space="preserve">Innovativeness, sustainability and </w:t>
      </w:r>
      <w:r w:rsidR="004F1D40">
        <w:rPr>
          <w:b/>
          <w:sz w:val="22"/>
          <w:szCs w:val="22"/>
        </w:rPr>
        <w:t xml:space="preserve">scale-up </w:t>
      </w:r>
      <w:r w:rsidRPr="0001061D">
        <w:rPr>
          <w:b/>
          <w:sz w:val="22"/>
          <w:szCs w:val="22"/>
        </w:rPr>
        <w:t>potential</w:t>
      </w:r>
      <w:r w:rsidR="004F1D40">
        <w:rPr>
          <w:b/>
          <w:sz w:val="22"/>
          <w:szCs w:val="22"/>
        </w:rPr>
        <w:t xml:space="preserve">: </w:t>
      </w:r>
      <w:r w:rsidR="004F1D40" w:rsidRPr="004F1D40">
        <w:rPr>
          <w:sz w:val="22"/>
          <w:szCs w:val="22"/>
        </w:rPr>
        <w:t>T</w:t>
      </w:r>
      <w:r w:rsidR="00614CAE" w:rsidRPr="004F1D40">
        <w:rPr>
          <w:sz w:val="22"/>
          <w:szCs w:val="22"/>
        </w:rPr>
        <w:t>he</w:t>
      </w:r>
      <w:r w:rsidR="00614CAE">
        <w:rPr>
          <w:sz w:val="22"/>
          <w:szCs w:val="22"/>
        </w:rPr>
        <w:t xml:space="preserve"> current </w:t>
      </w:r>
      <w:r w:rsidR="00614CAE" w:rsidRPr="00614CAE">
        <w:rPr>
          <w:sz w:val="22"/>
          <w:szCs w:val="22"/>
        </w:rPr>
        <w:t>preclinical data available demonstrates a regenerative effect on bone injury</w:t>
      </w:r>
      <w:r w:rsidR="00614CAE">
        <w:rPr>
          <w:sz w:val="22"/>
          <w:szCs w:val="22"/>
        </w:rPr>
        <w:t xml:space="preserve"> from </w:t>
      </w:r>
      <w:r w:rsidR="004F1D40">
        <w:rPr>
          <w:sz w:val="22"/>
          <w:szCs w:val="22"/>
        </w:rPr>
        <w:t xml:space="preserve">the </w:t>
      </w:r>
      <w:r w:rsidR="00614CAE">
        <w:rPr>
          <w:sz w:val="22"/>
          <w:szCs w:val="22"/>
        </w:rPr>
        <w:t>chemical</w:t>
      </w:r>
      <w:r w:rsidR="004F1D40">
        <w:rPr>
          <w:sz w:val="22"/>
          <w:szCs w:val="22"/>
        </w:rPr>
        <w:t xml:space="preserve"> extracts from</w:t>
      </w:r>
      <w:r w:rsidR="00614CAE">
        <w:rPr>
          <w:sz w:val="22"/>
          <w:szCs w:val="22"/>
        </w:rPr>
        <w:t xml:space="preserve"> “Au”</w:t>
      </w:r>
      <w:proofErr w:type="gramStart"/>
      <w:r w:rsidR="00614CAE">
        <w:rPr>
          <w:sz w:val="22"/>
          <w:szCs w:val="22"/>
        </w:rPr>
        <w:t>,</w:t>
      </w:r>
      <w:proofErr w:type="gramEnd"/>
      <w:r w:rsidR="00614CAE">
        <w:rPr>
          <w:sz w:val="22"/>
          <w:szCs w:val="22"/>
        </w:rPr>
        <w:t xml:space="preserve"> its actual utilization would be </w:t>
      </w:r>
      <w:r w:rsidR="00614CAE" w:rsidRPr="00614CAE">
        <w:rPr>
          <w:sz w:val="22"/>
          <w:szCs w:val="22"/>
        </w:rPr>
        <w:t>unprecedented</w:t>
      </w:r>
      <w:r w:rsidR="00614CAE">
        <w:rPr>
          <w:sz w:val="22"/>
          <w:szCs w:val="22"/>
        </w:rPr>
        <w:t xml:space="preserve"> and extremely innovative</w:t>
      </w:r>
      <w:r w:rsidR="004F1D40">
        <w:rPr>
          <w:sz w:val="22"/>
          <w:szCs w:val="22"/>
        </w:rPr>
        <w:t xml:space="preserve">. </w:t>
      </w:r>
      <w:r w:rsidR="00614CAE" w:rsidRPr="00614CAE">
        <w:rPr>
          <w:sz w:val="22"/>
          <w:szCs w:val="22"/>
        </w:rPr>
        <w:t xml:space="preserve">The potential of this project to alleviate disability resulting from bone injuries in both the developed is </w:t>
      </w:r>
      <w:r w:rsidR="004F1D40">
        <w:rPr>
          <w:sz w:val="22"/>
          <w:szCs w:val="22"/>
        </w:rPr>
        <w:t xml:space="preserve">significant. </w:t>
      </w:r>
      <w:r w:rsidR="002B2A3B" w:rsidRPr="0001061D">
        <w:rPr>
          <w:sz w:val="22"/>
          <w:szCs w:val="22"/>
        </w:rPr>
        <w:t xml:space="preserve">The research </w:t>
      </w:r>
      <w:r w:rsidR="001A3FD7" w:rsidRPr="0001061D">
        <w:rPr>
          <w:sz w:val="22"/>
          <w:szCs w:val="22"/>
        </w:rPr>
        <w:t xml:space="preserve">that was conducted </w:t>
      </w:r>
      <w:r w:rsidR="002B2A3B" w:rsidRPr="0001061D">
        <w:rPr>
          <w:sz w:val="22"/>
          <w:szCs w:val="22"/>
        </w:rPr>
        <w:t xml:space="preserve">to develop the base technology to this point </w:t>
      </w:r>
      <w:r w:rsidR="001A3FD7" w:rsidRPr="0001061D">
        <w:rPr>
          <w:sz w:val="22"/>
          <w:szCs w:val="22"/>
        </w:rPr>
        <w:t xml:space="preserve">was so unique, novel and innovate that it </w:t>
      </w:r>
      <w:r w:rsidR="002B2A3B" w:rsidRPr="0001061D">
        <w:rPr>
          <w:sz w:val="22"/>
          <w:szCs w:val="22"/>
        </w:rPr>
        <w:t xml:space="preserve">resulted in </w:t>
      </w:r>
      <w:r w:rsidR="001A3FD7" w:rsidRPr="0001061D">
        <w:rPr>
          <w:sz w:val="22"/>
          <w:szCs w:val="22"/>
        </w:rPr>
        <w:t xml:space="preserve">the award of </w:t>
      </w:r>
      <w:r w:rsidR="002B2A3B" w:rsidRPr="0001061D">
        <w:rPr>
          <w:sz w:val="22"/>
          <w:szCs w:val="22"/>
        </w:rPr>
        <w:t>a Ph</w:t>
      </w:r>
      <w:r w:rsidR="004F1D40">
        <w:rPr>
          <w:sz w:val="22"/>
          <w:szCs w:val="22"/>
        </w:rPr>
        <w:t xml:space="preserve">D and 3 international patents. </w:t>
      </w:r>
      <w:r w:rsidR="001923EA">
        <w:rPr>
          <w:sz w:val="22"/>
          <w:szCs w:val="22"/>
        </w:rPr>
        <w:t xml:space="preserve">As there are no current </w:t>
      </w:r>
      <w:r w:rsidR="002B2A3B" w:rsidRPr="0001061D">
        <w:rPr>
          <w:sz w:val="22"/>
          <w:szCs w:val="22"/>
        </w:rPr>
        <w:t>facilities for the production of materials for this project</w:t>
      </w:r>
      <w:r w:rsidR="001923EA">
        <w:rPr>
          <w:sz w:val="22"/>
          <w:szCs w:val="22"/>
        </w:rPr>
        <w:t xml:space="preserve"> in the Cook Islands</w:t>
      </w:r>
      <w:r w:rsidR="002B2A3B" w:rsidRPr="0001061D">
        <w:rPr>
          <w:sz w:val="22"/>
          <w:szCs w:val="22"/>
        </w:rPr>
        <w:t>, and all of the extraction methods, equipment and processes</w:t>
      </w:r>
      <w:r w:rsidR="001923EA">
        <w:rPr>
          <w:sz w:val="22"/>
          <w:szCs w:val="22"/>
        </w:rPr>
        <w:t xml:space="preserve"> would</w:t>
      </w:r>
      <w:r w:rsidR="002B2A3B" w:rsidRPr="0001061D">
        <w:rPr>
          <w:sz w:val="22"/>
          <w:szCs w:val="22"/>
        </w:rPr>
        <w:t xml:space="preserve"> have to be custom designed and modified</w:t>
      </w:r>
      <w:r w:rsidR="001923EA">
        <w:rPr>
          <w:sz w:val="22"/>
          <w:szCs w:val="22"/>
        </w:rPr>
        <w:t>, there will be considerable transfer of technology and innovation in this arena as well</w:t>
      </w:r>
      <w:r w:rsidR="004F1D40">
        <w:rPr>
          <w:sz w:val="22"/>
          <w:szCs w:val="22"/>
        </w:rPr>
        <w:t xml:space="preserve">. </w:t>
      </w:r>
      <w:r w:rsidR="002B2A3B" w:rsidRPr="0001061D">
        <w:rPr>
          <w:sz w:val="22"/>
          <w:szCs w:val="22"/>
        </w:rPr>
        <w:t>The technology transfers involved in this project represent the first high tech manufacturing project in the Coo</w:t>
      </w:r>
      <w:r w:rsidR="001923EA">
        <w:rPr>
          <w:sz w:val="22"/>
          <w:szCs w:val="22"/>
        </w:rPr>
        <w:t xml:space="preserve">k Island. </w:t>
      </w:r>
      <w:r w:rsidR="000D6F83">
        <w:rPr>
          <w:sz w:val="22"/>
          <w:szCs w:val="22"/>
        </w:rPr>
        <w:t>The project is sustainable as it focuses on establishing the systemic and institutional capacity of ABS management in the Cook Islands. In addition to the institutional and legal framework, the project will look at training both Government as well as community members in ABS-related tasks creating a firm, sustained capacity for the future. The ABS agreement piloted by the project will provide opportunities to test and ensure the robustness of the enabling environment and the capacity supported by the project. The updating of legislation, the lessons learned from the piloting of an ABS agreement and the capacity installed in Government and local communities will induce the opportunities to scale up ABS-related activities in the country.</w:t>
      </w:r>
      <w:r w:rsidR="00C71AF2">
        <w:rPr>
          <w:sz w:val="22"/>
          <w:szCs w:val="22"/>
        </w:rPr>
        <w:t xml:space="preserve"> The experiences of the CI will also be replicable to other nations globally in terms of operationalizing the Nagoya Protocol.</w:t>
      </w:r>
    </w:p>
    <w:p w:rsidR="008D68EA" w:rsidRPr="00606431" w:rsidRDefault="008D68EA" w:rsidP="00606431">
      <w:pPr>
        <w:tabs>
          <w:tab w:val="left" w:pos="0"/>
          <w:tab w:val="num" w:pos="900"/>
        </w:tabs>
        <w:jc w:val="both"/>
        <w:rPr>
          <w:sz w:val="22"/>
          <w:szCs w:val="22"/>
        </w:rPr>
      </w:pPr>
    </w:p>
    <w:p w:rsidR="000474B9" w:rsidRPr="0001061D" w:rsidRDefault="00093128" w:rsidP="00606431">
      <w:pPr>
        <w:spacing w:after="80"/>
        <w:jc w:val="both"/>
        <w:rPr>
          <w:b/>
          <w:bCs/>
          <w:sz w:val="22"/>
          <w:szCs w:val="22"/>
        </w:rPr>
      </w:pPr>
      <w:r w:rsidRPr="0001061D">
        <w:rPr>
          <w:b/>
          <w:bCs/>
          <w:sz w:val="22"/>
          <w:szCs w:val="22"/>
        </w:rPr>
        <w:t>A.2 Stakeholders:</w:t>
      </w:r>
      <w:r w:rsidR="00E7482D" w:rsidRPr="0001061D">
        <w:rPr>
          <w:b/>
          <w:bCs/>
          <w:sz w:val="22"/>
          <w:szCs w:val="22"/>
        </w:rPr>
        <w:t xml:space="preserve"> Identify key stakeholders (including civil society organizations, indigenous people, gender groups, and others as relevant) and describe how they will be engaged in project preparation: </w:t>
      </w:r>
    </w:p>
    <w:p w:rsidR="008D68EA" w:rsidRPr="00C71AF2" w:rsidRDefault="00C71AF2" w:rsidP="00606431">
      <w:pPr>
        <w:spacing w:after="80"/>
        <w:jc w:val="both"/>
        <w:rPr>
          <w:sz w:val="22"/>
          <w:szCs w:val="22"/>
        </w:rPr>
      </w:pPr>
      <w:r w:rsidRPr="00C71AF2">
        <w:rPr>
          <w:sz w:val="22"/>
          <w:szCs w:val="22"/>
        </w:rPr>
        <w:t>K</w:t>
      </w:r>
      <w:r w:rsidR="008D68EA" w:rsidRPr="00C71AF2">
        <w:rPr>
          <w:sz w:val="22"/>
          <w:szCs w:val="22"/>
        </w:rPr>
        <w:t>ey stakeholde</w:t>
      </w:r>
      <w:r w:rsidRPr="00C71AF2">
        <w:rPr>
          <w:sz w:val="22"/>
          <w:szCs w:val="22"/>
        </w:rPr>
        <w:t>rs involved in the project are presented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9198"/>
      </w:tblGrid>
      <w:tr w:rsidR="00BA5CBE" w:rsidRPr="0001061D" w:rsidTr="007127DC">
        <w:tc>
          <w:tcPr>
            <w:tcW w:w="825" w:type="pct"/>
            <w:shd w:val="clear" w:color="auto" w:fill="auto"/>
          </w:tcPr>
          <w:p w:rsidR="006D12AD" w:rsidRPr="005C67D5" w:rsidRDefault="006D12AD" w:rsidP="00AD0C9A">
            <w:pPr>
              <w:tabs>
                <w:tab w:val="num" w:pos="900"/>
              </w:tabs>
              <w:jc w:val="both"/>
              <w:rPr>
                <w:b/>
                <w:sz w:val="20"/>
                <w:szCs w:val="20"/>
              </w:rPr>
            </w:pPr>
            <w:r w:rsidRPr="005C67D5">
              <w:rPr>
                <w:b/>
                <w:sz w:val="20"/>
                <w:szCs w:val="20"/>
              </w:rPr>
              <w:t>Stakeholder</w:t>
            </w:r>
          </w:p>
        </w:tc>
        <w:tc>
          <w:tcPr>
            <w:tcW w:w="4175" w:type="pct"/>
            <w:shd w:val="clear" w:color="auto" w:fill="auto"/>
          </w:tcPr>
          <w:p w:rsidR="006D12AD" w:rsidRPr="005C67D5" w:rsidRDefault="006D12AD" w:rsidP="00AD0C9A">
            <w:pPr>
              <w:pStyle w:val="ColorfulList-Accent12"/>
              <w:ind w:left="0"/>
              <w:jc w:val="both"/>
              <w:rPr>
                <w:b/>
                <w:sz w:val="20"/>
                <w:szCs w:val="20"/>
              </w:rPr>
            </w:pPr>
            <w:r w:rsidRPr="005C67D5">
              <w:rPr>
                <w:b/>
                <w:sz w:val="20"/>
                <w:szCs w:val="20"/>
              </w:rPr>
              <w:t>Expected Role in Project Implementation</w:t>
            </w:r>
          </w:p>
        </w:tc>
      </w:tr>
      <w:tr w:rsidR="00BA5CBE" w:rsidRPr="007127DC" w:rsidTr="007127DC">
        <w:tc>
          <w:tcPr>
            <w:tcW w:w="825" w:type="pct"/>
            <w:shd w:val="clear" w:color="auto" w:fill="auto"/>
          </w:tcPr>
          <w:p w:rsidR="006D12AD" w:rsidRPr="007127DC" w:rsidRDefault="006D12AD" w:rsidP="007127DC">
            <w:pPr>
              <w:tabs>
                <w:tab w:val="num" w:pos="900"/>
              </w:tabs>
              <w:rPr>
                <w:sz w:val="20"/>
                <w:szCs w:val="20"/>
              </w:rPr>
            </w:pPr>
            <w:r w:rsidRPr="007127DC">
              <w:rPr>
                <w:sz w:val="20"/>
                <w:szCs w:val="20"/>
              </w:rPr>
              <w:t xml:space="preserve">The </w:t>
            </w:r>
            <w:r w:rsidR="007127DC" w:rsidRPr="007127DC">
              <w:rPr>
                <w:sz w:val="20"/>
                <w:szCs w:val="20"/>
              </w:rPr>
              <w:t xml:space="preserve">House of </w:t>
            </w:r>
            <w:proofErr w:type="spellStart"/>
            <w:r w:rsidR="007127DC" w:rsidRPr="007127DC">
              <w:rPr>
                <w:sz w:val="20"/>
                <w:szCs w:val="20"/>
              </w:rPr>
              <w:t>Ariki</w:t>
            </w:r>
            <w:proofErr w:type="spellEnd"/>
            <w:r w:rsidR="007127DC" w:rsidRPr="007127DC">
              <w:rPr>
                <w:sz w:val="20"/>
                <w:szCs w:val="20"/>
              </w:rPr>
              <w:t xml:space="preserve"> and </w:t>
            </w:r>
            <w:proofErr w:type="spellStart"/>
            <w:r w:rsidR="007127DC" w:rsidRPr="007127DC">
              <w:rPr>
                <w:sz w:val="20"/>
                <w:szCs w:val="20"/>
              </w:rPr>
              <w:t>Te</w:t>
            </w:r>
            <w:proofErr w:type="spellEnd"/>
            <w:r w:rsidR="007127DC" w:rsidRPr="007127DC">
              <w:rPr>
                <w:sz w:val="20"/>
                <w:szCs w:val="20"/>
              </w:rPr>
              <w:t xml:space="preserve"> </w:t>
            </w:r>
            <w:proofErr w:type="spellStart"/>
            <w:r w:rsidR="007127DC" w:rsidRPr="007127DC">
              <w:rPr>
                <w:sz w:val="20"/>
                <w:szCs w:val="20"/>
              </w:rPr>
              <w:t>Koutu</w:t>
            </w:r>
            <w:proofErr w:type="spellEnd"/>
            <w:r w:rsidR="007127DC" w:rsidRPr="007127DC">
              <w:rPr>
                <w:sz w:val="20"/>
                <w:szCs w:val="20"/>
              </w:rPr>
              <w:t xml:space="preserve"> Nui</w:t>
            </w:r>
          </w:p>
        </w:tc>
        <w:tc>
          <w:tcPr>
            <w:tcW w:w="4175" w:type="pct"/>
            <w:shd w:val="clear" w:color="auto" w:fill="auto"/>
          </w:tcPr>
          <w:p w:rsidR="006D12AD" w:rsidRPr="007127DC" w:rsidRDefault="006D12AD" w:rsidP="00500DE0">
            <w:pPr>
              <w:pStyle w:val="ColorfulList-Accent12"/>
              <w:ind w:left="0"/>
              <w:rPr>
                <w:sz w:val="20"/>
                <w:szCs w:val="20"/>
              </w:rPr>
            </w:pPr>
            <w:r w:rsidRPr="009B437B">
              <w:rPr>
                <w:sz w:val="20"/>
                <w:szCs w:val="20"/>
              </w:rPr>
              <w:t xml:space="preserve">The House of </w:t>
            </w:r>
            <w:proofErr w:type="spellStart"/>
            <w:r w:rsidRPr="009B437B">
              <w:rPr>
                <w:sz w:val="20"/>
                <w:szCs w:val="20"/>
              </w:rPr>
              <w:t>Ariki</w:t>
            </w:r>
            <w:proofErr w:type="spellEnd"/>
            <w:r w:rsidRPr="009B437B">
              <w:rPr>
                <w:sz w:val="20"/>
                <w:szCs w:val="20"/>
              </w:rPr>
              <w:t xml:space="preserve"> represents the tribal leaders across the Cook Islands. Given the strong traditional </w:t>
            </w:r>
            <w:r w:rsidR="001775B5" w:rsidRPr="009B437B">
              <w:rPr>
                <w:sz w:val="20"/>
                <w:szCs w:val="20"/>
              </w:rPr>
              <w:t>knowledge fo</w:t>
            </w:r>
            <w:r w:rsidR="00500DE0" w:rsidRPr="009B437B">
              <w:rPr>
                <w:sz w:val="20"/>
                <w:szCs w:val="20"/>
              </w:rPr>
              <w:t>c</w:t>
            </w:r>
            <w:r w:rsidR="001775B5" w:rsidRPr="009B437B">
              <w:rPr>
                <w:sz w:val="20"/>
                <w:szCs w:val="20"/>
              </w:rPr>
              <w:t xml:space="preserve">us of the project the House of </w:t>
            </w:r>
            <w:proofErr w:type="spellStart"/>
            <w:r w:rsidR="001775B5" w:rsidRPr="009B437B">
              <w:rPr>
                <w:sz w:val="20"/>
                <w:szCs w:val="20"/>
              </w:rPr>
              <w:t>Ariki</w:t>
            </w:r>
            <w:proofErr w:type="spellEnd"/>
            <w:r w:rsidR="001775B5" w:rsidRPr="009B437B">
              <w:rPr>
                <w:sz w:val="20"/>
                <w:szCs w:val="20"/>
              </w:rPr>
              <w:t xml:space="preserve"> will </w:t>
            </w:r>
            <w:r w:rsidR="00500DE0" w:rsidRPr="009B437B">
              <w:rPr>
                <w:sz w:val="20"/>
                <w:szCs w:val="20"/>
              </w:rPr>
              <w:t>be consulted and capacitated in their role of providing traditional leadership advice to the parliament. Their support to the ABS Act is paramount in its passing in Parliament.</w:t>
            </w:r>
            <w:r w:rsidR="00500DE0">
              <w:rPr>
                <w:sz w:val="20"/>
                <w:szCs w:val="20"/>
              </w:rPr>
              <w:t xml:space="preserve"> The </w:t>
            </w:r>
            <w:proofErr w:type="spellStart"/>
            <w:r w:rsidR="00500DE0" w:rsidRPr="00500DE0">
              <w:rPr>
                <w:i/>
                <w:sz w:val="20"/>
                <w:szCs w:val="20"/>
              </w:rPr>
              <w:t>Koutu</w:t>
            </w:r>
            <w:proofErr w:type="spellEnd"/>
            <w:r w:rsidR="00500DE0" w:rsidRPr="00500DE0">
              <w:rPr>
                <w:i/>
                <w:sz w:val="20"/>
                <w:szCs w:val="20"/>
              </w:rPr>
              <w:t xml:space="preserve"> Nui</w:t>
            </w:r>
            <w:r w:rsidR="00500DE0">
              <w:rPr>
                <w:sz w:val="20"/>
                <w:szCs w:val="20"/>
              </w:rPr>
              <w:t xml:space="preserve"> is a major shareholder of CIMTECH and will be involved in all components of the projects. The </w:t>
            </w:r>
            <w:proofErr w:type="spellStart"/>
            <w:r w:rsidR="00500DE0" w:rsidRPr="00500DE0">
              <w:rPr>
                <w:i/>
                <w:sz w:val="20"/>
                <w:szCs w:val="20"/>
              </w:rPr>
              <w:t>Koutu</w:t>
            </w:r>
            <w:proofErr w:type="spellEnd"/>
            <w:r w:rsidR="00500DE0" w:rsidRPr="00500DE0">
              <w:rPr>
                <w:i/>
                <w:sz w:val="20"/>
                <w:szCs w:val="20"/>
              </w:rPr>
              <w:t xml:space="preserve"> Nui</w:t>
            </w:r>
            <w:r w:rsidR="00500DE0">
              <w:rPr>
                <w:sz w:val="20"/>
                <w:szCs w:val="20"/>
              </w:rPr>
              <w:t xml:space="preserve"> will also take a lead role in ensuring the investment of financial benefits in the management of </w:t>
            </w:r>
            <w:proofErr w:type="spellStart"/>
            <w:r w:rsidR="00500DE0" w:rsidRPr="00500DE0">
              <w:rPr>
                <w:i/>
                <w:sz w:val="20"/>
                <w:szCs w:val="20"/>
              </w:rPr>
              <w:t>Ra’ui</w:t>
            </w:r>
            <w:proofErr w:type="spellEnd"/>
            <w:r w:rsidR="00500DE0">
              <w:rPr>
                <w:sz w:val="20"/>
                <w:szCs w:val="20"/>
              </w:rPr>
              <w:t xml:space="preserve">. </w:t>
            </w:r>
          </w:p>
        </w:tc>
      </w:tr>
      <w:tr w:rsidR="008962F8" w:rsidRPr="007127DC" w:rsidTr="007127DC">
        <w:tc>
          <w:tcPr>
            <w:tcW w:w="825" w:type="pct"/>
            <w:shd w:val="clear" w:color="auto" w:fill="auto"/>
          </w:tcPr>
          <w:p w:rsidR="006D12AD" w:rsidRPr="007127DC" w:rsidRDefault="008962F8" w:rsidP="007127DC">
            <w:pPr>
              <w:tabs>
                <w:tab w:val="num" w:pos="900"/>
              </w:tabs>
              <w:rPr>
                <w:sz w:val="20"/>
                <w:szCs w:val="20"/>
              </w:rPr>
            </w:pPr>
            <w:r w:rsidRPr="007127DC">
              <w:rPr>
                <w:sz w:val="20"/>
                <w:szCs w:val="20"/>
              </w:rPr>
              <w:t xml:space="preserve">The Cook Islands Government </w:t>
            </w:r>
            <w:r w:rsidR="008E40EF" w:rsidRPr="007127DC">
              <w:rPr>
                <w:sz w:val="20"/>
                <w:szCs w:val="20"/>
              </w:rPr>
              <w:t xml:space="preserve">National </w:t>
            </w:r>
            <w:r w:rsidRPr="007127DC">
              <w:rPr>
                <w:sz w:val="20"/>
                <w:szCs w:val="20"/>
              </w:rPr>
              <w:t xml:space="preserve"> Environment</w:t>
            </w:r>
            <w:r w:rsidR="008E40EF" w:rsidRPr="007127DC">
              <w:rPr>
                <w:sz w:val="20"/>
                <w:szCs w:val="20"/>
              </w:rPr>
              <w:t xml:space="preserve"> Service</w:t>
            </w:r>
            <w:r w:rsidRPr="007127DC">
              <w:rPr>
                <w:sz w:val="20"/>
                <w:szCs w:val="20"/>
              </w:rPr>
              <w:t xml:space="preserve">, Biodiversity Unit and Island Futures Division </w:t>
            </w:r>
          </w:p>
        </w:tc>
        <w:tc>
          <w:tcPr>
            <w:tcW w:w="4175" w:type="pct"/>
            <w:shd w:val="clear" w:color="auto" w:fill="auto"/>
          </w:tcPr>
          <w:p w:rsidR="006D12AD" w:rsidRPr="007127DC" w:rsidRDefault="00D96641" w:rsidP="00500DE0">
            <w:pPr>
              <w:pStyle w:val="ColorfulList-Accent12"/>
              <w:ind w:left="0"/>
              <w:rPr>
                <w:sz w:val="20"/>
                <w:szCs w:val="20"/>
              </w:rPr>
            </w:pPr>
            <w:r w:rsidRPr="007127DC">
              <w:rPr>
                <w:sz w:val="20"/>
                <w:szCs w:val="20"/>
              </w:rPr>
              <w:t xml:space="preserve">The </w:t>
            </w:r>
            <w:r w:rsidR="00AA5D32" w:rsidRPr="007127DC">
              <w:rPr>
                <w:sz w:val="20"/>
                <w:szCs w:val="20"/>
              </w:rPr>
              <w:t>National</w:t>
            </w:r>
            <w:r w:rsidR="006D12AD" w:rsidRPr="007127DC">
              <w:rPr>
                <w:sz w:val="20"/>
                <w:szCs w:val="20"/>
              </w:rPr>
              <w:t xml:space="preserve"> Environment Service is the focal Government Agency responsible for implementing the CBD, the CCD, and related </w:t>
            </w:r>
            <w:proofErr w:type="spellStart"/>
            <w:r w:rsidR="006D12AD" w:rsidRPr="007127DC">
              <w:rPr>
                <w:sz w:val="20"/>
                <w:szCs w:val="20"/>
              </w:rPr>
              <w:t>MEAs.</w:t>
            </w:r>
            <w:proofErr w:type="spellEnd"/>
            <w:r w:rsidR="006D12AD" w:rsidRPr="007127DC">
              <w:rPr>
                <w:sz w:val="20"/>
                <w:szCs w:val="20"/>
              </w:rPr>
              <w:t xml:space="preserve"> The </w:t>
            </w:r>
            <w:r w:rsidR="008E40EF" w:rsidRPr="007127DC">
              <w:rPr>
                <w:sz w:val="20"/>
                <w:szCs w:val="20"/>
              </w:rPr>
              <w:t xml:space="preserve">National Environment </w:t>
            </w:r>
            <w:r w:rsidR="006D12AD" w:rsidRPr="007127DC">
              <w:rPr>
                <w:sz w:val="20"/>
                <w:szCs w:val="20"/>
              </w:rPr>
              <w:t>Service will be the primary</w:t>
            </w:r>
            <w:r w:rsidR="008E40EF" w:rsidRPr="007127DC">
              <w:rPr>
                <w:sz w:val="20"/>
                <w:szCs w:val="20"/>
              </w:rPr>
              <w:t xml:space="preserve"> agency</w:t>
            </w:r>
            <w:r w:rsidR="006D12AD" w:rsidRPr="007127DC">
              <w:rPr>
                <w:sz w:val="20"/>
                <w:szCs w:val="20"/>
              </w:rPr>
              <w:t xml:space="preserve"> responsible for coordination and management of the project and particularly on implementation of activities related to terrestr</w:t>
            </w:r>
            <w:r w:rsidR="00500DE0">
              <w:rPr>
                <w:sz w:val="20"/>
                <w:szCs w:val="20"/>
              </w:rPr>
              <w:t xml:space="preserve">ial biodiversity conservation and ABS. </w:t>
            </w:r>
            <w:r w:rsidR="006D12AD" w:rsidRPr="007127DC">
              <w:rPr>
                <w:sz w:val="20"/>
                <w:szCs w:val="20"/>
              </w:rPr>
              <w:t>It will also facilitate the linkages with other related project initiatives in country, both internationally and nationally.</w:t>
            </w:r>
            <w:r w:rsidR="007153E8" w:rsidRPr="007127DC">
              <w:rPr>
                <w:sz w:val="20"/>
                <w:szCs w:val="20"/>
              </w:rPr>
              <w:t xml:space="preserve"> It</w:t>
            </w:r>
            <w:r w:rsidR="008962F8" w:rsidRPr="007127DC">
              <w:rPr>
                <w:sz w:val="20"/>
                <w:szCs w:val="20"/>
              </w:rPr>
              <w:t xml:space="preserve"> will work closely with </w:t>
            </w:r>
            <w:r w:rsidR="00500DE0">
              <w:rPr>
                <w:sz w:val="20"/>
                <w:szCs w:val="20"/>
              </w:rPr>
              <w:t>Crown Law Office</w:t>
            </w:r>
            <w:r w:rsidR="008962F8" w:rsidRPr="007127DC">
              <w:rPr>
                <w:sz w:val="20"/>
                <w:szCs w:val="20"/>
              </w:rPr>
              <w:t xml:space="preserve"> in the development of legislative and regulatory frameworks that will allow this project to be governed to high level of environmental and quality assurance, and implement the environmental and conservation benefits of this project.</w:t>
            </w:r>
            <w:r w:rsidR="00500DE0">
              <w:rPr>
                <w:sz w:val="20"/>
                <w:szCs w:val="20"/>
              </w:rPr>
              <w:t xml:space="preserve"> The Island Futures Division will be responsible for some of the education and awareness raining that will be conducted on the project. </w:t>
            </w:r>
          </w:p>
        </w:tc>
      </w:tr>
      <w:tr w:rsidR="00BA5CBE" w:rsidRPr="007127DC" w:rsidTr="007127DC">
        <w:tc>
          <w:tcPr>
            <w:tcW w:w="825" w:type="pct"/>
            <w:shd w:val="clear" w:color="auto" w:fill="auto"/>
          </w:tcPr>
          <w:p w:rsidR="006D12AD" w:rsidRPr="007127DC" w:rsidRDefault="008962F8" w:rsidP="007127DC">
            <w:pPr>
              <w:tabs>
                <w:tab w:val="num" w:pos="900"/>
              </w:tabs>
              <w:rPr>
                <w:sz w:val="20"/>
                <w:szCs w:val="20"/>
              </w:rPr>
            </w:pPr>
            <w:r w:rsidRPr="007127DC">
              <w:rPr>
                <w:sz w:val="20"/>
                <w:szCs w:val="20"/>
                <w:lang w:eastAsia="en-GB"/>
              </w:rPr>
              <w:t>Matheson Enterprises</w:t>
            </w:r>
          </w:p>
        </w:tc>
        <w:tc>
          <w:tcPr>
            <w:tcW w:w="4175" w:type="pct"/>
            <w:shd w:val="clear" w:color="auto" w:fill="auto"/>
          </w:tcPr>
          <w:p w:rsidR="006D12AD" w:rsidRPr="00500DE0" w:rsidRDefault="005C67D5" w:rsidP="007777B1">
            <w:pPr>
              <w:rPr>
                <w:sz w:val="20"/>
                <w:szCs w:val="20"/>
              </w:rPr>
            </w:pPr>
            <w:r w:rsidRPr="00500DE0">
              <w:rPr>
                <w:sz w:val="20"/>
                <w:szCs w:val="20"/>
                <w:lang w:eastAsia="en-GB"/>
              </w:rPr>
              <w:t xml:space="preserve">This </w:t>
            </w:r>
            <w:r w:rsidR="008962F8" w:rsidRPr="00500DE0">
              <w:rPr>
                <w:sz w:val="20"/>
                <w:szCs w:val="20"/>
                <w:lang w:eastAsia="en-GB"/>
              </w:rPr>
              <w:t>is a wholly owned Cook Islands company that operates existing CITMECH projects under license within the Cook Islands and will manage the development, operations and exp</w:t>
            </w:r>
            <w:r w:rsidR="007777B1" w:rsidRPr="00500DE0">
              <w:rPr>
                <w:sz w:val="20"/>
                <w:szCs w:val="20"/>
                <w:lang w:eastAsia="en-GB"/>
              </w:rPr>
              <w:t xml:space="preserve">ort components of </w:t>
            </w:r>
            <w:r w:rsidR="00500DE0" w:rsidRPr="00500DE0">
              <w:rPr>
                <w:i/>
                <w:sz w:val="20"/>
                <w:szCs w:val="20"/>
              </w:rPr>
              <w:t xml:space="preserve">Hibiscus </w:t>
            </w:r>
            <w:proofErr w:type="spellStart"/>
            <w:r w:rsidR="00500DE0" w:rsidRPr="00500DE0">
              <w:rPr>
                <w:i/>
                <w:sz w:val="20"/>
                <w:szCs w:val="20"/>
              </w:rPr>
              <w:t>tiliaceus</w:t>
            </w:r>
            <w:proofErr w:type="spellEnd"/>
            <w:r w:rsidR="00500DE0" w:rsidRPr="00500DE0">
              <w:rPr>
                <w:sz w:val="20"/>
                <w:szCs w:val="20"/>
                <w:lang w:eastAsia="en-GB"/>
              </w:rPr>
              <w:t xml:space="preserve"> on </w:t>
            </w:r>
            <w:r w:rsidR="007777B1" w:rsidRPr="00500DE0">
              <w:rPr>
                <w:sz w:val="20"/>
                <w:szCs w:val="20"/>
                <w:lang w:eastAsia="en-GB"/>
              </w:rPr>
              <w:t>this project.</w:t>
            </w:r>
          </w:p>
        </w:tc>
      </w:tr>
      <w:tr w:rsidR="00BA5CBE" w:rsidRPr="007127DC" w:rsidTr="007127DC">
        <w:tc>
          <w:tcPr>
            <w:tcW w:w="825" w:type="pct"/>
            <w:shd w:val="clear" w:color="auto" w:fill="auto"/>
          </w:tcPr>
          <w:p w:rsidR="006D12AD" w:rsidRPr="007127DC" w:rsidRDefault="008962F8" w:rsidP="007127DC">
            <w:pPr>
              <w:rPr>
                <w:sz w:val="20"/>
                <w:szCs w:val="20"/>
              </w:rPr>
            </w:pPr>
            <w:r w:rsidRPr="007127DC">
              <w:rPr>
                <w:sz w:val="20"/>
                <w:szCs w:val="20"/>
                <w:lang w:eastAsia="en-GB"/>
              </w:rPr>
              <w:t>CIMTECH</w:t>
            </w:r>
          </w:p>
        </w:tc>
        <w:tc>
          <w:tcPr>
            <w:tcW w:w="4175" w:type="pct"/>
            <w:shd w:val="clear" w:color="auto" w:fill="auto"/>
          </w:tcPr>
          <w:p w:rsidR="006D12AD" w:rsidRPr="007127DC" w:rsidRDefault="007777B1" w:rsidP="007777B1">
            <w:pPr>
              <w:rPr>
                <w:sz w:val="20"/>
                <w:szCs w:val="20"/>
              </w:rPr>
            </w:pPr>
            <w:r>
              <w:rPr>
                <w:sz w:val="20"/>
                <w:szCs w:val="20"/>
                <w:lang w:eastAsia="en-GB"/>
              </w:rPr>
              <w:t>CIMTECH i</w:t>
            </w:r>
            <w:r w:rsidR="008962F8" w:rsidRPr="007127DC">
              <w:rPr>
                <w:sz w:val="20"/>
                <w:szCs w:val="20"/>
                <w:lang w:eastAsia="en-GB"/>
              </w:rPr>
              <w:t xml:space="preserve">s the company that holds the intellectual property rights derived from the traditional knowledge and </w:t>
            </w:r>
            <w:r w:rsidR="008962F8" w:rsidRPr="007127DC">
              <w:rPr>
                <w:sz w:val="20"/>
                <w:szCs w:val="20"/>
                <w:lang w:eastAsia="en-GB"/>
              </w:rPr>
              <w:lastRenderedPageBreak/>
              <w:t>genetic resources of the Cook Islands under agreements with the</w:t>
            </w:r>
            <w:r>
              <w:rPr>
                <w:sz w:val="20"/>
                <w:szCs w:val="20"/>
                <w:lang w:eastAsia="en-GB"/>
              </w:rPr>
              <w:t xml:space="preserve"> </w:t>
            </w:r>
            <w:proofErr w:type="spellStart"/>
            <w:r>
              <w:rPr>
                <w:sz w:val="20"/>
                <w:szCs w:val="20"/>
                <w:lang w:eastAsia="en-GB"/>
              </w:rPr>
              <w:t>Koutu</w:t>
            </w:r>
            <w:proofErr w:type="spellEnd"/>
            <w:r>
              <w:rPr>
                <w:sz w:val="20"/>
                <w:szCs w:val="20"/>
                <w:lang w:eastAsia="en-GB"/>
              </w:rPr>
              <w:t xml:space="preserve"> Nui of the Cook Islands.</w:t>
            </w:r>
            <w:r w:rsidR="008962F8" w:rsidRPr="007127DC">
              <w:rPr>
                <w:sz w:val="20"/>
                <w:szCs w:val="20"/>
                <w:lang w:eastAsia="en-GB"/>
              </w:rPr>
              <w:t xml:space="preserve"> CIMTECH will provide the technology transfer, the commercial supply agreements and the capital required for the production of the export quality material. </w:t>
            </w:r>
          </w:p>
        </w:tc>
      </w:tr>
      <w:tr w:rsidR="00BA5CBE" w:rsidRPr="007127DC" w:rsidTr="007127DC">
        <w:tc>
          <w:tcPr>
            <w:tcW w:w="825" w:type="pct"/>
            <w:shd w:val="clear" w:color="auto" w:fill="auto"/>
          </w:tcPr>
          <w:p w:rsidR="006D12AD" w:rsidRPr="007127DC" w:rsidRDefault="006D12AD" w:rsidP="007127DC">
            <w:pPr>
              <w:rPr>
                <w:sz w:val="20"/>
                <w:szCs w:val="20"/>
              </w:rPr>
            </w:pPr>
            <w:r w:rsidRPr="007127DC">
              <w:rPr>
                <w:sz w:val="20"/>
                <w:szCs w:val="20"/>
              </w:rPr>
              <w:lastRenderedPageBreak/>
              <w:t xml:space="preserve">Cook Islands Natural Heritage Trust (CINHT): </w:t>
            </w:r>
          </w:p>
          <w:p w:rsidR="006D12AD" w:rsidRPr="007127DC" w:rsidRDefault="006D12AD" w:rsidP="007127DC">
            <w:pPr>
              <w:rPr>
                <w:sz w:val="20"/>
                <w:szCs w:val="20"/>
              </w:rPr>
            </w:pPr>
          </w:p>
        </w:tc>
        <w:tc>
          <w:tcPr>
            <w:tcW w:w="4175" w:type="pct"/>
            <w:shd w:val="clear" w:color="auto" w:fill="auto"/>
          </w:tcPr>
          <w:p w:rsidR="006D12AD" w:rsidRPr="007127DC" w:rsidRDefault="006D12AD" w:rsidP="007127DC">
            <w:pPr>
              <w:tabs>
                <w:tab w:val="num" w:pos="900"/>
              </w:tabs>
              <w:rPr>
                <w:sz w:val="20"/>
                <w:szCs w:val="20"/>
              </w:rPr>
            </w:pPr>
            <w:r w:rsidRPr="007127DC">
              <w:rPr>
                <w:sz w:val="20"/>
                <w:szCs w:val="20"/>
              </w:rPr>
              <w:t xml:space="preserve">The Natural Heritage Trust was established in 1999 by an Act of Parliament. The Natural Heritage Trust played a key role during NBSAP development and implementation. The Trust also has developed and maintained a biodiversity database, which comprises nearly 2 decades of baseline biodiversity information specifically to the Cook Islands. The Natural Heritage Trust will be a key stakeholder in the project design and development, and will play a technical advisory role during implementation. </w:t>
            </w:r>
          </w:p>
        </w:tc>
      </w:tr>
      <w:tr w:rsidR="00183318" w:rsidRPr="007127DC" w:rsidTr="007127DC">
        <w:tc>
          <w:tcPr>
            <w:tcW w:w="825" w:type="pct"/>
            <w:shd w:val="clear" w:color="auto" w:fill="auto"/>
          </w:tcPr>
          <w:p w:rsidR="00183318" w:rsidRPr="00183318" w:rsidRDefault="00183318" w:rsidP="007127DC">
            <w:pPr>
              <w:rPr>
                <w:sz w:val="20"/>
                <w:szCs w:val="20"/>
              </w:rPr>
            </w:pPr>
            <w:proofErr w:type="spellStart"/>
            <w:r w:rsidRPr="00183318">
              <w:rPr>
                <w:sz w:val="20"/>
                <w:szCs w:val="20"/>
              </w:rPr>
              <w:t>Te</w:t>
            </w:r>
            <w:proofErr w:type="spellEnd"/>
            <w:r w:rsidRPr="00183318">
              <w:rPr>
                <w:sz w:val="20"/>
                <w:szCs w:val="20"/>
              </w:rPr>
              <w:t xml:space="preserve"> </w:t>
            </w:r>
            <w:proofErr w:type="spellStart"/>
            <w:r w:rsidRPr="00183318">
              <w:rPr>
                <w:sz w:val="20"/>
                <w:szCs w:val="20"/>
              </w:rPr>
              <w:t>Ipukarea</w:t>
            </w:r>
            <w:proofErr w:type="spellEnd"/>
            <w:r w:rsidRPr="00183318">
              <w:rPr>
                <w:sz w:val="20"/>
                <w:szCs w:val="20"/>
              </w:rPr>
              <w:t xml:space="preserve"> Society (TIS)</w:t>
            </w:r>
          </w:p>
        </w:tc>
        <w:tc>
          <w:tcPr>
            <w:tcW w:w="4175" w:type="pct"/>
            <w:shd w:val="clear" w:color="auto" w:fill="auto"/>
          </w:tcPr>
          <w:p w:rsidR="00183318" w:rsidRPr="00183318" w:rsidRDefault="00183318" w:rsidP="007127DC">
            <w:pPr>
              <w:tabs>
                <w:tab w:val="num" w:pos="900"/>
              </w:tabs>
              <w:rPr>
                <w:sz w:val="20"/>
                <w:szCs w:val="20"/>
              </w:rPr>
            </w:pPr>
            <w:r w:rsidRPr="00183318">
              <w:rPr>
                <w:sz w:val="20"/>
                <w:szCs w:val="20"/>
              </w:rPr>
              <w:t xml:space="preserve">TIS is a Cook Islands non-governmental organisation with 16 years of experience on addressing global and national environmental issues. Their mission is “to promote the balance and harmony, which should characterise the relationship of the Cook Islands people with other components of our environment. TIS would assist in the provision of ABS public awareness activities as well as assist the </w:t>
            </w:r>
            <w:proofErr w:type="spellStart"/>
            <w:r w:rsidRPr="00183318">
              <w:rPr>
                <w:sz w:val="20"/>
                <w:szCs w:val="20"/>
              </w:rPr>
              <w:t>Koutu</w:t>
            </w:r>
            <w:proofErr w:type="spellEnd"/>
            <w:r w:rsidRPr="00183318">
              <w:rPr>
                <w:sz w:val="20"/>
                <w:szCs w:val="20"/>
              </w:rPr>
              <w:t xml:space="preserve"> Nui in advocating and managing the </w:t>
            </w:r>
            <w:proofErr w:type="spellStart"/>
            <w:r w:rsidRPr="00183318">
              <w:rPr>
                <w:sz w:val="20"/>
                <w:szCs w:val="20"/>
              </w:rPr>
              <w:t>Ra’ui</w:t>
            </w:r>
            <w:proofErr w:type="spellEnd"/>
            <w:r w:rsidRPr="00183318">
              <w:rPr>
                <w:sz w:val="20"/>
                <w:szCs w:val="20"/>
              </w:rPr>
              <w:t xml:space="preserve">. </w:t>
            </w:r>
          </w:p>
        </w:tc>
      </w:tr>
      <w:tr w:rsidR="003921FE" w:rsidRPr="007127DC" w:rsidTr="007127DC">
        <w:tc>
          <w:tcPr>
            <w:tcW w:w="825" w:type="pct"/>
            <w:shd w:val="clear" w:color="auto" w:fill="auto"/>
          </w:tcPr>
          <w:p w:rsidR="006D12AD" w:rsidRPr="007127DC" w:rsidRDefault="006D12AD" w:rsidP="007127DC">
            <w:pPr>
              <w:rPr>
                <w:sz w:val="20"/>
                <w:szCs w:val="20"/>
              </w:rPr>
            </w:pPr>
            <w:r w:rsidRPr="007127DC">
              <w:rPr>
                <w:sz w:val="20"/>
                <w:szCs w:val="20"/>
              </w:rPr>
              <w:t>Local community groups</w:t>
            </w:r>
          </w:p>
        </w:tc>
        <w:tc>
          <w:tcPr>
            <w:tcW w:w="4175" w:type="pct"/>
            <w:shd w:val="clear" w:color="auto" w:fill="auto"/>
          </w:tcPr>
          <w:p w:rsidR="006D12AD" w:rsidRPr="007127DC" w:rsidRDefault="006D12AD" w:rsidP="007127DC">
            <w:pPr>
              <w:tabs>
                <w:tab w:val="num" w:pos="900"/>
              </w:tabs>
              <w:rPr>
                <w:sz w:val="20"/>
                <w:szCs w:val="20"/>
              </w:rPr>
            </w:pPr>
            <w:r w:rsidRPr="007127DC">
              <w:rPr>
                <w:sz w:val="20"/>
                <w:szCs w:val="20"/>
              </w:rPr>
              <w:t>Local communities will be primary agents to manage community conservation areas and also in local agro-ecosystems management. Local traditional leaders as well as formal leaders (such as the parliamentarians) will play key roles in ensuring local conservation area declaration and management, whilst local farmers groups/ fishers groups, women’s groups, youth groups etc. will also play key roles in different aspects of conservation planning, implementation and also in landscape management under this ridge to reef programme.</w:t>
            </w:r>
          </w:p>
        </w:tc>
      </w:tr>
    </w:tbl>
    <w:p w:rsidR="006D12AD" w:rsidRPr="0001061D" w:rsidRDefault="006D12AD" w:rsidP="00606431">
      <w:pPr>
        <w:spacing w:after="80"/>
        <w:jc w:val="both"/>
        <w:rPr>
          <w:sz w:val="20"/>
          <w:szCs w:val="20"/>
        </w:rPr>
      </w:pPr>
    </w:p>
    <w:p w:rsidR="000474B9" w:rsidRPr="0001061D" w:rsidRDefault="00E7482D" w:rsidP="00606431">
      <w:pPr>
        <w:spacing w:after="80"/>
        <w:jc w:val="both"/>
        <w:rPr>
          <w:b/>
          <w:bCs/>
          <w:sz w:val="22"/>
          <w:szCs w:val="22"/>
        </w:rPr>
      </w:pPr>
      <w:proofErr w:type="gramStart"/>
      <w:r w:rsidRPr="0001061D">
        <w:rPr>
          <w:b/>
          <w:bCs/>
          <w:sz w:val="22"/>
          <w:szCs w:val="22"/>
        </w:rPr>
        <w:t>A.3 Risk.</w:t>
      </w:r>
      <w:proofErr w:type="gramEnd"/>
      <w:r w:rsidRPr="0001061D">
        <w:rPr>
          <w:b/>
          <w:bCs/>
          <w:sz w:val="22"/>
          <w:szCs w:val="22"/>
        </w:rPr>
        <w:t xml:space="preserve"> Indicate risks, including climate change, potential social and environmental risks that might prevent the project objectives from being achieved, and, if possible, propose measures that address these risks to be further developed during the project design (table format acceptable):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991"/>
        <w:gridCol w:w="6669"/>
      </w:tblGrid>
      <w:tr w:rsidR="00BA5CBE" w:rsidRPr="0001061D" w:rsidTr="00606431">
        <w:tc>
          <w:tcPr>
            <w:tcW w:w="1523" w:type="pct"/>
            <w:shd w:val="clear" w:color="auto" w:fill="EEECE1"/>
            <w:vAlign w:val="center"/>
          </w:tcPr>
          <w:p w:rsidR="00795B04" w:rsidRPr="0001061D" w:rsidRDefault="00795B04" w:rsidP="00AD0C9A">
            <w:pPr>
              <w:jc w:val="both"/>
              <w:rPr>
                <w:rFonts w:ascii="Times New Roman Bold" w:hAnsi="Times New Roman Bold"/>
                <w:b/>
                <w:sz w:val="18"/>
                <w:szCs w:val="18"/>
              </w:rPr>
            </w:pPr>
            <w:r w:rsidRPr="0001061D">
              <w:rPr>
                <w:rFonts w:ascii="Times New Roman Bold" w:hAnsi="Times New Roman Bold"/>
                <w:b/>
                <w:sz w:val="18"/>
                <w:szCs w:val="18"/>
              </w:rPr>
              <w:t>Risk</w:t>
            </w:r>
          </w:p>
        </w:tc>
        <w:tc>
          <w:tcPr>
            <w:tcW w:w="450" w:type="pct"/>
            <w:shd w:val="clear" w:color="auto" w:fill="EEECE1"/>
            <w:vAlign w:val="center"/>
          </w:tcPr>
          <w:p w:rsidR="00795B04" w:rsidRPr="0001061D" w:rsidRDefault="00795B04" w:rsidP="00AD0C9A">
            <w:pPr>
              <w:ind w:left="-108" w:right="-108"/>
              <w:jc w:val="both"/>
              <w:rPr>
                <w:rFonts w:ascii="Times New Roman Bold" w:hAnsi="Times New Roman Bold"/>
                <w:b/>
                <w:sz w:val="18"/>
                <w:szCs w:val="18"/>
              </w:rPr>
            </w:pPr>
            <w:r w:rsidRPr="0001061D">
              <w:rPr>
                <w:rFonts w:ascii="Times New Roman Bold" w:hAnsi="Times New Roman Bold"/>
                <w:b/>
                <w:sz w:val="18"/>
                <w:szCs w:val="18"/>
              </w:rPr>
              <w:t>Level</w:t>
            </w:r>
          </w:p>
        </w:tc>
        <w:tc>
          <w:tcPr>
            <w:tcW w:w="3027" w:type="pct"/>
            <w:shd w:val="clear" w:color="auto" w:fill="EEECE1"/>
            <w:vAlign w:val="center"/>
          </w:tcPr>
          <w:p w:rsidR="00795B04" w:rsidRPr="0001061D" w:rsidRDefault="00795B04" w:rsidP="00AD0C9A">
            <w:pPr>
              <w:jc w:val="both"/>
              <w:rPr>
                <w:rFonts w:ascii="Times New Roman Bold" w:hAnsi="Times New Roman Bold"/>
                <w:b/>
                <w:sz w:val="18"/>
                <w:szCs w:val="18"/>
              </w:rPr>
            </w:pPr>
            <w:r w:rsidRPr="0001061D">
              <w:rPr>
                <w:rFonts w:ascii="Times New Roman Bold" w:hAnsi="Times New Roman Bold"/>
                <w:b/>
                <w:sz w:val="18"/>
                <w:szCs w:val="18"/>
              </w:rPr>
              <w:t>Mitigation Measures</w:t>
            </w:r>
          </w:p>
        </w:tc>
      </w:tr>
      <w:tr w:rsidR="00BA5CBE" w:rsidRPr="0001061D" w:rsidTr="00606431">
        <w:tc>
          <w:tcPr>
            <w:tcW w:w="1523" w:type="pct"/>
          </w:tcPr>
          <w:p w:rsidR="00795B04" w:rsidRPr="0001061D" w:rsidRDefault="001A3FD7" w:rsidP="00AD0C9A">
            <w:pPr>
              <w:jc w:val="both"/>
              <w:rPr>
                <w:sz w:val="20"/>
                <w:szCs w:val="20"/>
              </w:rPr>
            </w:pPr>
            <w:r w:rsidRPr="0001061D">
              <w:rPr>
                <w:sz w:val="20"/>
                <w:szCs w:val="20"/>
              </w:rPr>
              <w:t xml:space="preserve">Expertise deficit – the lack or loss of highly qualified personnel to conduct the project. </w:t>
            </w:r>
          </w:p>
        </w:tc>
        <w:tc>
          <w:tcPr>
            <w:tcW w:w="450" w:type="pct"/>
          </w:tcPr>
          <w:p w:rsidR="00795B04" w:rsidRPr="0001061D" w:rsidDel="005B202A" w:rsidRDefault="001A3FD7" w:rsidP="00AD0C9A">
            <w:pPr>
              <w:tabs>
                <w:tab w:val="left" w:pos="-108"/>
              </w:tabs>
              <w:ind w:left="-108" w:right="-108"/>
              <w:jc w:val="both"/>
              <w:rPr>
                <w:sz w:val="20"/>
                <w:szCs w:val="20"/>
              </w:rPr>
            </w:pPr>
            <w:r w:rsidRPr="0001061D">
              <w:rPr>
                <w:sz w:val="20"/>
                <w:szCs w:val="20"/>
              </w:rPr>
              <w:t>Medium</w:t>
            </w:r>
          </w:p>
        </w:tc>
        <w:tc>
          <w:tcPr>
            <w:tcW w:w="3027" w:type="pct"/>
          </w:tcPr>
          <w:p w:rsidR="00795B04" w:rsidRPr="0001061D" w:rsidRDefault="001A3FD7" w:rsidP="00AD0C9A">
            <w:pPr>
              <w:tabs>
                <w:tab w:val="left" w:pos="0"/>
              </w:tabs>
              <w:jc w:val="both"/>
              <w:rPr>
                <w:sz w:val="20"/>
                <w:szCs w:val="20"/>
              </w:rPr>
            </w:pPr>
            <w:r w:rsidRPr="0001061D">
              <w:rPr>
                <w:sz w:val="20"/>
                <w:szCs w:val="20"/>
              </w:rPr>
              <w:t>CIMTECH will train Cook Islanders employed by Matheson Enterprises in the proce</w:t>
            </w:r>
            <w:r w:rsidR="007777B1">
              <w:rPr>
                <w:sz w:val="20"/>
                <w:szCs w:val="20"/>
              </w:rPr>
              <w:t xml:space="preserve">sses and the science required. </w:t>
            </w:r>
            <w:r w:rsidRPr="0001061D">
              <w:rPr>
                <w:sz w:val="20"/>
                <w:szCs w:val="20"/>
              </w:rPr>
              <w:t xml:space="preserve">CIMTECH and Matheson Enterprises will both have personnel independently capable of conducting all necessary processes and will provide succession planning by training additional individuals. </w:t>
            </w:r>
          </w:p>
        </w:tc>
      </w:tr>
      <w:tr w:rsidR="00BA5CBE" w:rsidRPr="0001061D" w:rsidTr="00606431">
        <w:tc>
          <w:tcPr>
            <w:tcW w:w="1523" w:type="pct"/>
          </w:tcPr>
          <w:p w:rsidR="00795B04" w:rsidRPr="0001061D" w:rsidRDefault="001A3FD7" w:rsidP="00AD0C9A">
            <w:pPr>
              <w:jc w:val="both"/>
              <w:rPr>
                <w:sz w:val="20"/>
                <w:szCs w:val="32"/>
              </w:rPr>
            </w:pPr>
            <w:r w:rsidRPr="0001061D">
              <w:rPr>
                <w:sz w:val="20"/>
                <w:szCs w:val="32"/>
              </w:rPr>
              <w:t>Environmental Damage – The excessive removal of plant materials beyond the carrying capacity of the environment or without consideration of the ecological role of the plant</w:t>
            </w:r>
          </w:p>
        </w:tc>
        <w:tc>
          <w:tcPr>
            <w:tcW w:w="450" w:type="pct"/>
          </w:tcPr>
          <w:p w:rsidR="00795B04" w:rsidRPr="0001061D" w:rsidRDefault="001A3FD7" w:rsidP="00AD0C9A">
            <w:pPr>
              <w:tabs>
                <w:tab w:val="left" w:pos="-108"/>
              </w:tabs>
              <w:ind w:left="-108" w:right="-108"/>
              <w:jc w:val="both"/>
              <w:rPr>
                <w:sz w:val="20"/>
                <w:szCs w:val="20"/>
              </w:rPr>
            </w:pPr>
            <w:r w:rsidRPr="0001061D">
              <w:rPr>
                <w:sz w:val="20"/>
                <w:szCs w:val="20"/>
              </w:rPr>
              <w:t>Low</w:t>
            </w:r>
          </w:p>
        </w:tc>
        <w:tc>
          <w:tcPr>
            <w:tcW w:w="3027" w:type="pct"/>
          </w:tcPr>
          <w:p w:rsidR="00795B04" w:rsidRPr="0001061D" w:rsidRDefault="001A3FD7" w:rsidP="00074209">
            <w:pPr>
              <w:tabs>
                <w:tab w:val="left" w:pos="0"/>
              </w:tabs>
              <w:jc w:val="both"/>
              <w:rPr>
                <w:sz w:val="20"/>
                <w:szCs w:val="32"/>
              </w:rPr>
            </w:pPr>
            <w:r w:rsidRPr="0001061D">
              <w:rPr>
                <w:sz w:val="20"/>
                <w:szCs w:val="32"/>
              </w:rPr>
              <w:t xml:space="preserve">The </w:t>
            </w:r>
            <w:r w:rsidR="00074209">
              <w:rPr>
                <w:sz w:val="20"/>
                <w:szCs w:val="32"/>
              </w:rPr>
              <w:t xml:space="preserve">National </w:t>
            </w:r>
            <w:r w:rsidRPr="0001061D">
              <w:rPr>
                <w:sz w:val="20"/>
                <w:szCs w:val="32"/>
              </w:rPr>
              <w:t xml:space="preserve">Environment </w:t>
            </w:r>
            <w:r w:rsidR="00074209">
              <w:rPr>
                <w:sz w:val="20"/>
                <w:szCs w:val="32"/>
              </w:rPr>
              <w:t>Service</w:t>
            </w:r>
            <w:r w:rsidRPr="0001061D">
              <w:rPr>
                <w:sz w:val="20"/>
                <w:szCs w:val="32"/>
              </w:rPr>
              <w:t xml:space="preserve"> will ensure that all plant materials acquired for the project are done under supervision that includes limits on the volume from any particular site, and the assessment of the local environmental conditions to ensure that the impact on the environment is minimal and all harvesting is performed as a sustainable activity. </w:t>
            </w:r>
          </w:p>
        </w:tc>
      </w:tr>
      <w:tr w:rsidR="00BA5CBE" w:rsidRPr="0001061D" w:rsidTr="00606431">
        <w:tc>
          <w:tcPr>
            <w:tcW w:w="1523" w:type="pct"/>
          </w:tcPr>
          <w:p w:rsidR="00795B04" w:rsidRPr="0001061D" w:rsidRDefault="00016593" w:rsidP="00AD0C9A">
            <w:pPr>
              <w:tabs>
                <w:tab w:val="left" w:pos="0"/>
              </w:tabs>
              <w:ind w:right="-21"/>
              <w:jc w:val="both"/>
              <w:rPr>
                <w:sz w:val="20"/>
                <w:szCs w:val="20"/>
              </w:rPr>
            </w:pPr>
            <w:r w:rsidRPr="0001061D">
              <w:rPr>
                <w:sz w:val="20"/>
                <w:szCs w:val="20"/>
              </w:rPr>
              <w:t>Climate Change – Sea level rise, increase in temperature and extreme weather events</w:t>
            </w:r>
          </w:p>
        </w:tc>
        <w:tc>
          <w:tcPr>
            <w:tcW w:w="450" w:type="pct"/>
          </w:tcPr>
          <w:p w:rsidR="00795B04" w:rsidRPr="0001061D" w:rsidRDefault="00016593" w:rsidP="00AD0C9A">
            <w:pPr>
              <w:tabs>
                <w:tab w:val="left" w:pos="-108"/>
              </w:tabs>
              <w:ind w:left="-108" w:right="-108"/>
              <w:jc w:val="both"/>
              <w:rPr>
                <w:sz w:val="20"/>
                <w:szCs w:val="20"/>
              </w:rPr>
            </w:pPr>
            <w:r w:rsidRPr="0001061D">
              <w:rPr>
                <w:sz w:val="20"/>
                <w:szCs w:val="20"/>
              </w:rPr>
              <w:t>Low</w:t>
            </w:r>
          </w:p>
        </w:tc>
        <w:tc>
          <w:tcPr>
            <w:tcW w:w="3027" w:type="pct"/>
          </w:tcPr>
          <w:p w:rsidR="00795B04" w:rsidRPr="0001061D" w:rsidRDefault="00016593" w:rsidP="00074209">
            <w:pPr>
              <w:tabs>
                <w:tab w:val="left" w:pos="0"/>
              </w:tabs>
              <w:jc w:val="both"/>
              <w:rPr>
                <w:sz w:val="20"/>
                <w:szCs w:val="20"/>
              </w:rPr>
            </w:pPr>
            <w:r w:rsidRPr="00074209">
              <w:rPr>
                <w:sz w:val="20"/>
                <w:szCs w:val="20"/>
              </w:rPr>
              <w:t xml:space="preserve">The potential of the sea level to rise will potentially affect some of </w:t>
            </w:r>
            <w:r w:rsidR="00074209" w:rsidRPr="00074209">
              <w:rPr>
                <w:i/>
                <w:sz w:val="20"/>
                <w:szCs w:val="20"/>
              </w:rPr>
              <w:t xml:space="preserve">Hibiscus </w:t>
            </w:r>
            <w:proofErr w:type="spellStart"/>
            <w:r w:rsidR="00074209" w:rsidRPr="00074209">
              <w:rPr>
                <w:i/>
                <w:sz w:val="20"/>
                <w:szCs w:val="20"/>
              </w:rPr>
              <w:t>tiliaceus</w:t>
            </w:r>
            <w:proofErr w:type="spellEnd"/>
            <w:r w:rsidRPr="00074209">
              <w:rPr>
                <w:sz w:val="20"/>
                <w:szCs w:val="20"/>
              </w:rPr>
              <w:t xml:space="preserve"> habitat, however this</w:t>
            </w:r>
            <w:r w:rsidRPr="0001061D">
              <w:rPr>
                <w:sz w:val="20"/>
                <w:szCs w:val="20"/>
              </w:rPr>
              <w:t xml:space="preserve"> plant is particularly resistant to salt water and grows in a habitat range tens of meters above the likely impact of sea level rise and the extraction facility is constructed on high ground away from the ocean. There is the possibility of </w:t>
            </w:r>
            <w:r w:rsidR="00074209" w:rsidRPr="0001061D">
              <w:rPr>
                <w:sz w:val="20"/>
                <w:szCs w:val="20"/>
              </w:rPr>
              <w:t>more</w:t>
            </w:r>
            <w:r w:rsidRPr="0001061D">
              <w:rPr>
                <w:sz w:val="20"/>
                <w:szCs w:val="20"/>
              </w:rPr>
              <w:t xml:space="preserve"> or more intense tropical cyclones, and this could affect the physical infrastructure and the production of materials if the harves</w:t>
            </w:r>
            <w:r w:rsidR="00074209">
              <w:rPr>
                <w:sz w:val="20"/>
                <w:szCs w:val="20"/>
              </w:rPr>
              <w:t xml:space="preserve">t sites are directly impacted. </w:t>
            </w:r>
            <w:r w:rsidRPr="0001061D">
              <w:rPr>
                <w:sz w:val="20"/>
                <w:szCs w:val="20"/>
              </w:rPr>
              <w:t xml:space="preserve">The facility is built to withstand severe cyclones with additional reinforcement and footings being incorporated into the design.  The plant component of interest is produced over many years and is unlikely to be substantially damaged during an extreme weather event. </w:t>
            </w:r>
          </w:p>
        </w:tc>
      </w:tr>
      <w:tr w:rsidR="00BA5CBE" w:rsidRPr="0001061D" w:rsidTr="00606431">
        <w:tc>
          <w:tcPr>
            <w:tcW w:w="1523" w:type="pct"/>
          </w:tcPr>
          <w:p w:rsidR="00795B04" w:rsidRPr="0001061D" w:rsidRDefault="00016593" w:rsidP="00AD0C9A">
            <w:pPr>
              <w:jc w:val="both"/>
              <w:rPr>
                <w:sz w:val="20"/>
                <w:szCs w:val="20"/>
              </w:rPr>
            </w:pPr>
            <w:r w:rsidRPr="0001061D">
              <w:rPr>
                <w:sz w:val="20"/>
                <w:szCs w:val="20"/>
              </w:rPr>
              <w:t>Efficacy loss  - the inadvertent loss of efficacy occurring when the scaling up of a production line</w:t>
            </w:r>
          </w:p>
        </w:tc>
        <w:tc>
          <w:tcPr>
            <w:tcW w:w="450" w:type="pct"/>
          </w:tcPr>
          <w:p w:rsidR="00795B04" w:rsidRPr="0001061D" w:rsidDel="005B202A" w:rsidRDefault="00016593" w:rsidP="00AD0C9A">
            <w:pPr>
              <w:ind w:left="-108" w:right="-108"/>
              <w:jc w:val="both"/>
              <w:rPr>
                <w:sz w:val="20"/>
                <w:szCs w:val="20"/>
              </w:rPr>
            </w:pPr>
            <w:r w:rsidRPr="0001061D">
              <w:rPr>
                <w:sz w:val="20"/>
                <w:szCs w:val="20"/>
              </w:rPr>
              <w:t>Low</w:t>
            </w:r>
          </w:p>
        </w:tc>
        <w:tc>
          <w:tcPr>
            <w:tcW w:w="3027" w:type="pct"/>
          </w:tcPr>
          <w:p w:rsidR="00795B04" w:rsidRPr="0001061D" w:rsidRDefault="00016593" w:rsidP="00AD0C9A">
            <w:pPr>
              <w:jc w:val="both"/>
              <w:rPr>
                <w:sz w:val="20"/>
                <w:szCs w:val="20"/>
              </w:rPr>
            </w:pPr>
            <w:r w:rsidRPr="0001061D">
              <w:rPr>
                <w:sz w:val="20"/>
                <w:szCs w:val="20"/>
              </w:rPr>
              <w:t>The larger scale extraction facility mirrors the equipment utilized in the bench</w:t>
            </w:r>
            <w:r w:rsidR="00A55A1C" w:rsidRPr="0001061D">
              <w:rPr>
                <w:sz w:val="20"/>
                <w:szCs w:val="20"/>
              </w:rPr>
              <w:t>-</w:t>
            </w:r>
            <w:r w:rsidRPr="0001061D">
              <w:rPr>
                <w:sz w:val="20"/>
                <w:szCs w:val="20"/>
              </w:rPr>
              <w:t>top extractions used previous</w:t>
            </w:r>
            <w:r w:rsidR="00074209">
              <w:rPr>
                <w:sz w:val="20"/>
                <w:szCs w:val="20"/>
              </w:rPr>
              <w:t xml:space="preserve">ly in efficacious productions. </w:t>
            </w:r>
            <w:r w:rsidRPr="0001061D">
              <w:rPr>
                <w:sz w:val="20"/>
                <w:szCs w:val="20"/>
              </w:rPr>
              <w:t>Variations built into t</w:t>
            </w:r>
            <w:r w:rsidR="00A55A1C" w:rsidRPr="0001061D">
              <w:rPr>
                <w:sz w:val="20"/>
                <w:szCs w:val="20"/>
              </w:rPr>
              <w:t xml:space="preserve">he new processes to improve </w:t>
            </w:r>
            <w:r w:rsidRPr="0001061D">
              <w:rPr>
                <w:sz w:val="20"/>
                <w:szCs w:val="20"/>
              </w:rPr>
              <w:t>the system also have interchangeable components that allow for</w:t>
            </w:r>
            <w:r w:rsidR="00A55A1C" w:rsidRPr="0001061D">
              <w:rPr>
                <w:sz w:val="20"/>
                <w:szCs w:val="20"/>
              </w:rPr>
              <w:t xml:space="preserve"> the reversion to the less opti</w:t>
            </w:r>
            <w:r w:rsidRPr="0001061D">
              <w:rPr>
                <w:sz w:val="20"/>
                <w:szCs w:val="20"/>
              </w:rPr>
              <w:t xml:space="preserve">mal but previously proven processes. </w:t>
            </w:r>
          </w:p>
        </w:tc>
      </w:tr>
      <w:tr w:rsidR="00A55A1C" w:rsidRPr="0001061D" w:rsidTr="00606431">
        <w:tc>
          <w:tcPr>
            <w:tcW w:w="1523" w:type="pct"/>
          </w:tcPr>
          <w:p w:rsidR="00A55A1C" w:rsidRPr="0001061D" w:rsidRDefault="00D75CB9" w:rsidP="00AD0C9A">
            <w:pPr>
              <w:jc w:val="both"/>
              <w:rPr>
                <w:sz w:val="20"/>
                <w:szCs w:val="20"/>
              </w:rPr>
            </w:pPr>
            <w:r w:rsidRPr="0001061D">
              <w:rPr>
                <w:sz w:val="20"/>
                <w:szCs w:val="20"/>
              </w:rPr>
              <w:t>Safety issues - The identification of adverse events in the scaled up product</w:t>
            </w:r>
          </w:p>
        </w:tc>
        <w:tc>
          <w:tcPr>
            <w:tcW w:w="450" w:type="pct"/>
          </w:tcPr>
          <w:p w:rsidR="00A55A1C" w:rsidRPr="0001061D" w:rsidRDefault="00D75CB9" w:rsidP="00AD0C9A">
            <w:pPr>
              <w:ind w:left="-108" w:right="-108"/>
              <w:jc w:val="both"/>
              <w:rPr>
                <w:sz w:val="20"/>
                <w:szCs w:val="20"/>
              </w:rPr>
            </w:pPr>
            <w:r w:rsidRPr="0001061D">
              <w:rPr>
                <w:sz w:val="20"/>
                <w:szCs w:val="20"/>
              </w:rPr>
              <w:t>Medium</w:t>
            </w:r>
          </w:p>
        </w:tc>
        <w:tc>
          <w:tcPr>
            <w:tcW w:w="3027" w:type="pct"/>
          </w:tcPr>
          <w:p w:rsidR="00A55A1C" w:rsidRPr="0001061D" w:rsidRDefault="00D75CB9" w:rsidP="00AD0C9A">
            <w:pPr>
              <w:jc w:val="both"/>
              <w:rPr>
                <w:sz w:val="20"/>
                <w:szCs w:val="20"/>
              </w:rPr>
            </w:pPr>
            <w:r w:rsidRPr="0001061D">
              <w:rPr>
                <w:sz w:val="20"/>
                <w:szCs w:val="20"/>
              </w:rPr>
              <w:t xml:space="preserve">The safety of biologically active products is an essential component to the viability of the program. None of the previous studies have demonstrated any adverse events </w:t>
            </w:r>
            <w:r w:rsidR="00074209">
              <w:rPr>
                <w:sz w:val="20"/>
                <w:szCs w:val="20"/>
              </w:rPr>
              <w:t xml:space="preserve">that suggest significant risk. </w:t>
            </w:r>
            <w:r w:rsidRPr="0001061D">
              <w:rPr>
                <w:sz w:val="20"/>
                <w:szCs w:val="20"/>
              </w:rPr>
              <w:t>The processing will be meticulously cleaned and the solvents for use wi</w:t>
            </w:r>
            <w:r w:rsidR="00074209">
              <w:rPr>
                <w:sz w:val="20"/>
                <w:szCs w:val="20"/>
              </w:rPr>
              <w:t xml:space="preserve">ll be of extremely high grade. </w:t>
            </w:r>
            <w:r w:rsidRPr="0001061D">
              <w:rPr>
                <w:sz w:val="20"/>
                <w:szCs w:val="20"/>
              </w:rPr>
              <w:t>The removal of solvents will be complete and thorou</w:t>
            </w:r>
            <w:r w:rsidR="00074209">
              <w:rPr>
                <w:sz w:val="20"/>
                <w:szCs w:val="20"/>
              </w:rPr>
              <w:t xml:space="preserve">gh. </w:t>
            </w:r>
            <w:r w:rsidRPr="0001061D">
              <w:rPr>
                <w:sz w:val="20"/>
                <w:szCs w:val="20"/>
              </w:rPr>
              <w:t xml:space="preserve">Safety issue if identified will need to be either severe or identified within the therapeutic range in order to significantly prevent the project form progressing. </w:t>
            </w:r>
          </w:p>
        </w:tc>
      </w:tr>
      <w:tr w:rsidR="00D75CB9" w:rsidRPr="0001061D" w:rsidTr="00606431">
        <w:tc>
          <w:tcPr>
            <w:tcW w:w="1523" w:type="pct"/>
          </w:tcPr>
          <w:p w:rsidR="00D75CB9" w:rsidRPr="0001061D" w:rsidRDefault="003204C6" w:rsidP="00AD0C9A">
            <w:pPr>
              <w:jc w:val="both"/>
              <w:rPr>
                <w:sz w:val="20"/>
                <w:szCs w:val="20"/>
              </w:rPr>
            </w:pPr>
            <w:r w:rsidRPr="0001061D">
              <w:rPr>
                <w:sz w:val="20"/>
                <w:szCs w:val="20"/>
              </w:rPr>
              <w:t>Social concern over project – the reaction of Cook Islanders over the utilization of their traditional knowledge</w:t>
            </w:r>
          </w:p>
        </w:tc>
        <w:tc>
          <w:tcPr>
            <w:tcW w:w="450" w:type="pct"/>
          </w:tcPr>
          <w:p w:rsidR="00D75CB9" w:rsidRPr="0001061D" w:rsidRDefault="003204C6" w:rsidP="00AD0C9A">
            <w:pPr>
              <w:ind w:left="-108" w:right="-108"/>
              <w:jc w:val="both"/>
              <w:rPr>
                <w:sz w:val="20"/>
                <w:szCs w:val="20"/>
              </w:rPr>
            </w:pPr>
            <w:r w:rsidRPr="0001061D">
              <w:rPr>
                <w:sz w:val="20"/>
                <w:szCs w:val="20"/>
              </w:rPr>
              <w:t>Low</w:t>
            </w:r>
          </w:p>
        </w:tc>
        <w:tc>
          <w:tcPr>
            <w:tcW w:w="3027" w:type="pct"/>
          </w:tcPr>
          <w:p w:rsidR="00D75CB9" w:rsidRPr="0001061D" w:rsidRDefault="003204C6" w:rsidP="00AD0C9A">
            <w:pPr>
              <w:jc w:val="both"/>
              <w:rPr>
                <w:sz w:val="20"/>
                <w:szCs w:val="20"/>
              </w:rPr>
            </w:pPr>
            <w:r w:rsidRPr="0001061D">
              <w:rPr>
                <w:sz w:val="20"/>
                <w:szCs w:val="20"/>
              </w:rPr>
              <w:t xml:space="preserve">The disclosure of this project has been in the public domain since the announcement of the commercial program in April 2011 at the National Economic Summit where it formed the basis of a Keynote address. Overwhelmingly the public sentiment has been positive, with only a few persons who did not approve. The </w:t>
            </w:r>
            <w:proofErr w:type="spellStart"/>
            <w:r w:rsidRPr="0001061D">
              <w:rPr>
                <w:sz w:val="20"/>
                <w:szCs w:val="20"/>
              </w:rPr>
              <w:t>Koutu</w:t>
            </w:r>
            <w:proofErr w:type="spellEnd"/>
            <w:r w:rsidRPr="0001061D">
              <w:rPr>
                <w:sz w:val="20"/>
                <w:szCs w:val="20"/>
              </w:rPr>
              <w:t xml:space="preserve"> Nui voted unanimously for the project </w:t>
            </w:r>
            <w:r w:rsidRPr="0001061D">
              <w:rPr>
                <w:sz w:val="20"/>
                <w:szCs w:val="20"/>
              </w:rPr>
              <w:lastRenderedPageBreak/>
              <w:t xml:space="preserve">at its conception and been fully informed of the developments along the way.  The launch of the first commercial products </w:t>
            </w:r>
            <w:proofErr w:type="spellStart"/>
            <w:r w:rsidRPr="0001061D">
              <w:rPr>
                <w:sz w:val="20"/>
                <w:szCs w:val="20"/>
              </w:rPr>
              <w:t>TeTika</w:t>
            </w:r>
            <w:proofErr w:type="spellEnd"/>
            <w:r w:rsidRPr="0001061D">
              <w:rPr>
                <w:sz w:val="20"/>
                <w:szCs w:val="20"/>
              </w:rPr>
              <w:t xml:space="preserve"> was conducted with the </w:t>
            </w:r>
            <w:proofErr w:type="spellStart"/>
            <w:r w:rsidRPr="0001061D">
              <w:rPr>
                <w:sz w:val="20"/>
                <w:szCs w:val="20"/>
              </w:rPr>
              <w:t>Koutu</w:t>
            </w:r>
            <w:proofErr w:type="spellEnd"/>
            <w:r w:rsidRPr="0001061D">
              <w:rPr>
                <w:sz w:val="20"/>
                <w:szCs w:val="20"/>
              </w:rPr>
              <w:t xml:space="preserve"> Nui restating their blessing and involvement, and the launch was opened with a speech by the Prime Minister of the Cook Islands and the President </w:t>
            </w:r>
            <w:r w:rsidR="00816D79" w:rsidRPr="0001061D">
              <w:rPr>
                <w:sz w:val="20"/>
                <w:szCs w:val="20"/>
              </w:rPr>
              <w:t>of</w:t>
            </w:r>
            <w:r w:rsidRPr="0001061D">
              <w:rPr>
                <w:sz w:val="20"/>
                <w:szCs w:val="20"/>
              </w:rPr>
              <w:t xml:space="preserve"> the </w:t>
            </w:r>
            <w:proofErr w:type="spellStart"/>
            <w:r w:rsidRPr="0001061D">
              <w:rPr>
                <w:sz w:val="20"/>
                <w:szCs w:val="20"/>
              </w:rPr>
              <w:t>Koutu</w:t>
            </w:r>
            <w:proofErr w:type="spellEnd"/>
            <w:r w:rsidRPr="0001061D">
              <w:rPr>
                <w:sz w:val="20"/>
                <w:szCs w:val="20"/>
              </w:rPr>
              <w:t xml:space="preserve"> Nui, with the Queens Representative and head of the House of </w:t>
            </w:r>
            <w:proofErr w:type="spellStart"/>
            <w:r w:rsidRPr="0001061D">
              <w:rPr>
                <w:sz w:val="20"/>
                <w:szCs w:val="20"/>
              </w:rPr>
              <w:t>Ariki</w:t>
            </w:r>
            <w:proofErr w:type="spellEnd"/>
            <w:r w:rsidRPr="0001061D">
              <w:rPr>
                <w:sz w:val="20"/>
                <w:szCs w:val="20"/>
              </w:rPr>
              <w:t xml:space="preserve"> present and in full support.  Transparency in process and the demonstrated ability to achieve scientific, commercial and social milestones is the key to ensuring that the social concerns are unlikely to present an obstacle. </w:t>
            </w:r>
          </w:p>
        </w:tc>
      </w:tr>
      <w:tr w:rsidR="00D75CB9" w:rsidRPr="0001061D" w:rsidTr="00606431">
        <w:tc>
          <w:tcPr>
            <w:tcW w:w="1523" w:type="pct"/>
          </w:tcPr>
          <w:p w:rsidR="00D75CB9" w:rsidRPr="0001061D" w:rsidRDefault="003204C6" w:rsidP="00AD0C9A">
            <w:pPr>
              <w:jc w:val="both"/>
              <w:rPr>
                <w:sz w:val="20"/>
                <w:szCs w:val="20"/>
              </w:rPr>
            </w:pPr>
            <w:r w:rsidRPr="0001061D">
              <w:rPr>
                <w:sz w:val="20"/>
                <w:szCs w:val="20"/>
              </w:rPr>
              <w:lastRenderedPageBreak/>
              <w:t xml:space="preserve">Supply constraints - Potential demand outstripping supply </w:t>
            </w:r>
            <w:r w:rsidR="005C67D5" w:rsidRPr="0001061D">
              <w:rPr>
                <w:sz w:val="20"/>
                <w:szCs w:val="20"/>
              </w:rPr>
              <w:t>capabilities</w:t>
            </w:r>
            <w:r w:rsidRPr="0001061D">
              <w:rPr>
                <w:sz w:val="20"/>
                <w:szCs w:val="20"/>
              </w:rPr>
              <w:t>.</w:t>
            </w:r>
          </w:p>
        </w:tc>
        <w:tc>
          <w:tcPr>
            <w:tcW w:w="450" w:type="pct"/>
          </w:tcPr>
          <w:p w:rsidR="00D75CB9" w:rsidRPr="0001061D" w:rsidRDefault="003204C6" w:rsidP="00AD0C9A">
            <w:pPr>
              <w:ind w:left="-108" w:right="-108"/>
              <w:jc w:val="both"/>
              <w:rPr>
                <w:sz w:val="20"/>
                <w:szCs w:val="20"/>
              </w:rPr>
            </w:pPr>
            <w:r w:rsidRPr="0001061D">
              <w:rPr>
                <w:sz w:val="20"/>
                <w:szCs w:val="20"/>
              </w:rPr>
              <w:t>Medium</w:t>
            </w:r>
          </w:p>
        </w:tc>
        <w:tc>
          <w:tcPr>
            <w:tcW w:w="3027" w:type="pct"/>
          </w:tcPr>
          <w:p w:rsidR="00D75CB9" w:rsidRPr="0001061D" w:rsidRDefault="003204C6" w:rsidP="00AD0C9A">
            <w:pPr>
              <w:jc w:val="both"/>
              <w:rPr>
                <w:sz w:val="20"/>
                <w:szCs w:val="20"/>
              </w:rPr>
            </w:pPr>
            <w:r w:rsidRPr="0001061D">
              <w:rPr>
                <w:sz w:val="20"/>
                <w:szCs w:val="20"/>
              </w:rPr>
              <w:t xml:space="preserve">The potential demand for this product is very </w:t>
            </w:r>
            <w:proofErr w:type="gramStart"/>
            <w:r w:rsidRPr="0001061D">
              <w:rPr>
                <w:sz w:val="20"/>
                <w:szCs w:val="20"/>
              </w:rPr>
              <w:t>large,</w:t>
            </w:r>
            <w:proofErr w:type="gramEnd"/>
            <w:r w:rsidRPr="0001061D">
              <w:rPr>
                <w:sz w:val="20"/>
                <w:szCs w:val="20"/>
              </w:rPr>
              <w:t xml:space="preserve"> however it is unlikely to outstrip supply </w:t>
            </w:r>
            <w:r w:rsidR="00074209">
              <w:rPr>
                <w:sz w:val="20"/>
                <w:szCs w:val="20"/>
              </w:rPr>
              <w:t xml:space="preserve">constraints in the short term. </w:t>
            </w:r>
            <w:r w:rsidRPr="0001061D">
              <w:rPr>
                <w:sz w:val="20"/>
                <w:szCs w:val="20"/>
              </w:rPr>
              <w:t xml:space="preserve">The time required for therapeutic products to progress through the regulatory path to market is long and will provide </w:t>
            </w:r>
            <w:r w:rsidR="00074209">
              <w:rPr>
                <w:sz w:val="20"/>
                <w:szCs w:val="20"/>
              </w:rPr>
              <w:t xml:space="preserve">time for increasing capacity. </w:t>
            </w:r>
            <w:r w:rsidRPr="0001061D">
              <w:rPr>
                <w:sz w:val="20"/>
                <w:szCs w:val="20"/>
              </w:rPr>
              <w:t xml:space="preserve">The extraction systems are modular and take approximately 3 months to replicate if needed. </w:t>
            </w:r>
            <w:r w:rsidR="00B74CAD" w:rsidRPr="0001061D">
              <w:rPr>
                <w:sz w:val="20"/>
                <w:szCs w:val="20"/>
              </w:rPr>
              <w:t>The plant sources are slow growing, however are in plentiful supply especially on the outer Coo</w:t>
            </w:r>
            <w:r w:rsidR="00074209">
              <w:rPr>
                <w:sz w:val="20"/>
                <w:szCs w:val="20"/>
              </w:rPr>
              <w:t>k Islands.</w:t>
            </w:r>
            <w:r w:rsidR="00B74CAD" w:rsidRPr="0001061D">
              <w:rPr>
                <w:sz w:val="20"/>
                <w:szCs w:val="20"/>
              </w:rPr>
              <w:t xml:space="preserve"> The establishment of a second processing centre on </w:t>
            </w:r>
            <w:proofErr w:type="spellStart"/>
            <w:r w:rsidR="00B74CAD" w:rsidRPr="0001061D">
              <w:rPr>
                <w:sz w:val="20"/>
                <w:szCs w:val="20"/>
              </w:rPr>
              <w:t>Aitutaki</w:t>
            </w:r>
            <w:proofErr w:type="spellEnd"/>
            <w:r w:rsidR="00B74CAD" w:rsidRPr="0001061D">
              <w:rPr>
                <w:sz w:val="20"/>
                <w:szCs w:val="20"/>
              </w:rPr>
              <w:t xml:space="preserve"> is a likely second stage development. </w:t>
            </w:r>
          </w:p>
        </w:tc>
      </w:tr>
      <w:tr w:rsidR="00A55A1C" w:rsidRPr="0001061D" w:rsidTr="00606431">
        <w:tc>
          <w:tcPr>
            <w:tcW w:w="1523" w:type="pct"/>
          </w:tcPr>
          <w:p w:rsidR="00A55A1C" w:rsidRPr="0001061D" w:rsidRDefault="00B74CAD" w:rsidP="00AD0C9A">
            <w:pPr>
              <w:jc w:val="both"/>
              <w:rPr>
                <w:sz w:val="20"/>
                <w:szCs w:val="20"/>
              </w:rPr>
            </w:pPr>
            <w:r w:rsidRPr="0001061D">
              <w:rPr>
                <w:sz w:val="20"/>
                <w:szCs w:val="20"/>
              </w:rPr>
              <w:t>Rejection of material – The possibility of the material produced being unsuitable for use in the therapeutic goods supply chain</w:t>
            </w:r>
          </w:p>
        </w:tc>
        <w:tc>
          <w:tcPr>
            <w:tcW w:w="450" w:type="pct"/>
          </w:tcPr>
          <w:p w:rsidR="00A55A1C" w:rsidRPr="0001061D" w:rsidRDefault="00B74CAD" w:rsidP="00AD0C9A">
            <w:pPr>
              <w:ind w:left="-108" w:right="-108"/>
              <w:jc w:val="both"/>
              <w:rPr>
                <w:sz w:val="20"/>
                <w:szCs w:val="20"/>
              </w:rPr>
            </w:pPr>
            <w:r w:rsidRPr="0001061D">
              <w:rPr>
                <w:sz w:val="20"/>
                <w:szCs w:val="20"/>
              </w:rPr>
              <w:t>Medium</w:t>
            </w:r>
          </w:p>
        </w:tc>
        <w:tc>
          <w:tcPr>
            <w:tcW w:w="3027" w:type="pct"/>
          </w:tcPr>
          <w:p w:rsidR="00A55A1C" w:rsidRPr="0001061D" w:rsidRDefault="00B74CAD" w:rsidP="00AD0C9A">
            <w:pPr>
              <w:jc w:val="both"/>
              <w:rPr>
                <w:sz w:val="20"/>
                <w:szCs w:val="20"/>
              </w:rPr>
            </w:pPr>
            <w:r w:rsidRPr="0001061D">
              <w:rPr>
                <w:sz w:val="20"/>
                <w:szCs w:val="20"/>
              </w:rPr>
              <w:t>The Cook Islands currently does not have regulations that would provide comfort to partnering companies that the product is ma</w:t>
            </w:r>
            <w:r w:rsidR="00D60B47">
              <w:rPr>
                <w:sz w:val="20"/>
                <w:szCs w:val="20"/>
              </w:rPr>
              <w:t xml:space="preserve">de to an appropriate standard. </w:t>
            </w:r>
            <w:r w:rsidRPr="0001061D">
              <w:rPr>
                <w:sz w:val="20"/>
                <w:szCs w:val="20"/>
              </w:rPr>
              <w:t>Key to this project is the development of legislative and regulatory frameworks that will ensure that the product will be capable of being certified as bein</w:t>
            </w:r>
            <w:r w:rsidR="00D60B47">
              <w:rPr>
                <w:sz w:val="20"/>
                <w:szCs w:val="20"/>
              </w:rPr>
              <w:t xml:space="preserve">g produced to a high standard. </w:t>
            </w:r>
            <w:r w:rsidR="00921466" w:rsidRPr="0001061D">
              <w:rPr>
                <w:sz w:val="20"/>
                <w:szCs w:val="20"/>
              </w:rPr>
              <w:t xml:space="preserve">Processes will be followed to good laboratory standards.  </w:t>
            </w:r>
            <w:r w:rsidRPr="0001061D">
              <w:rPr>
                <w:sz w:val="20"/>
                <w:szCs w:val="20"/>
              </w:rPr>
              <w:t>If the requirements are for GMP</w:t>
            </w:r>
            <w:r w:rsidR="00921466" w:rsidRPr="0001061D">
              <w:rPr>
                <w:sz w:val="20"/>
                <w:szCs w:val="20"/>
              </w:rPr>
              <w:t xml:space="preserve"> manufacturing, there will be a very high cost impost on the manufacturing costs that may render the project </w:t>
            </w:r>
            <w:r w:rsidR="00816D79" w:rsidRPr="0001061D">
              <w:rPr>
                <w:sz w:val="20"/>
                <w:szCs w:val="20"/>
              </w:rPr>
              <w:t>non-viable</w:t>
            </w:r>
            <w:r w:rsidR="00921466" w:rsidRPr="0001061D">
              <w:rPr>
                <w:sz w:val="20"/>
                <w:szCs w:val="20"/>
              </w:rPr>
              <w:t xml:space="preserve"> commercially and will need substantial next step upgrades to a new level of manufacturing standards. </w:t>
            </w:r>
          </w:p>
        </w:tc>
      </w:tr>
    </w:tbl>
    <w:p w:rsidR="002B4971" w:rsidRDefault="002B4971" w:rsidP="00606431">
      <w:pPr>
        <w:spacing w:after="120"/>
        <w:jc w:val="both"/>
        <w:rPr>
          <w:b/>
          <w:bCs/>
          <w:sz w:val="22"/>
          <w:szCs w:val="22"/>
        </w:rPr>
      </w:pPr>
    </w:p>
    <w:p w:rsidR="00E43B39" w:rsidRPr="00FF08A4" w:rsidRDefault="00E7482D" w:rsidP="00606431">
      <w:pPr>
        <w:spacing w:after="120"/>
        <w:jc w:val="both"/>
        <w:rPr>
          <w:b/>
          <w:bCs/>
          <w:sz w:val="22"/>
          <w:szCs w:val="22"/>
        </w:rPr>
      </w:pPr>
      <w:proofErr w:type="gramStart"/>
      <w:r w:rsidRPr="00FF08A4">
        <w:rPr>
          <w:b/>
          <w:bCs/>
          <w:sz w:val="22"/>
          <w:szCs w:val="22"/>
        </w:rPr>
        <w:t>A</w:t>
      </w:r>
      <w:r w:rsidR="00934AAD" w:rsidRPr="00FF08A4">
        <w:rPr>
          <w:b/>
          <w:bCs/>
          <w:sz w:val="22"/>
          <w:szCs w:val="22"/>
        </w:rPr>
        <w:t>.</w:t>
      </w:r>
      <w:r w:rsidRPr="00FF08A4">
        <w:rPr>
          <w:b/>
          <w:bCs/>
          <w:sz w:val="22"/>
          <w:szCs w:val="22"/>
        </w:rPr>
        <w:t>4</w:t>
      </w:r>
      <w:r w:rsidR="00934AAD" w:rsidRPr="00FF08A4">
        <w:rPr>
          <w:b/>
          <w:bCs/>
          <w:sz w:val="22"/>
          <w:szCs w:val="22"/>
        </w:rPr>
        <w:t xml:space="preserve">. </w:t>
      </w:r>
      <w:r w:rsidRPr="00FF08A4">
        <w:rPr>
          <w:b/>
          <w:bCs/>
          <w:sz w:val="22"/>
          <w:szCs w:val="22"/>
        </w:rPr>
        <w:t>Coordination.</w:t>
      </w:r>
      <w:proofErr w:type="gramEnd"/>
      <w:r w:rsidRPr="00FF08A4">
        <w:rPr>
          <w:b/>
          <w:bCs/>
          <w:sz w:val="22"/>
          <w:szCs w:val="22"/>
        </w:rPr>
        <w:t xml:space="preserve"> </w:t>
      </w:r>
      <w:r w:rsidR="00934AAD" w:rsidRPr="00FF08A4">
        <w:rPr>
          <w:b/>
          <w:bCs/>
          <w:sz w:val="22"/>
          <w:szCs w:val="22"/>
        </w:rPr>
        <w:t>Outline the coordination with other rel</w:t>
      </w:r>
      <w:r w:rsidRPr="00FF08A4">
        <w:rPr>
          <w:b/>
          <w:bCs/>
          <w:sz w:val="22"/>
          <w:szCs w:val="22"/>
        </w:rPr>
        <w:t xml:space="preserve">evant GEF financed and other </w:t>
      </w:r>
      <w:r w:rsidR="00934AAD" w:rsidRPr="00FF08A4">
        <w:rPr>
          <w:b/>
          <w:bCs/>
          <w:sz w:val="22"/>
          <w:szCs w:val="22"/>
        </w:rPr>
        <w:t xml:space="preserve">initiatives: </w:t>
      </w:r>
      <w:bookmarkStart w:id="5" w:name="outlineCoordination"/>
      <w:r w:rsidR="00F35DCD" w:rsidRPr="00FF08A4">
        <w:rPr>
          <w:b/>
          <w:bCs/>
          <w:sz w:val="22"/>
          <w:szCs w:val="22"/>
        </w:rPr>
        <w:t xml:space="preserve">     </w:t>
      </w:r>
      <w:bookmarkStart w:id="6" w:name="PROJECTNAME"/>
      <w:bookmarkEnd w:id="5"/>
      <w:r w:rsidR="00E43B39" w:rsidRPr="00FF08A4">
        <w:rPr>
          <w:sz w:val="22"/>
          <w:szCs w:val="22"/>
        </w:rPr>
        <w:t>Implementation of the</w:t>
      </w:r>
      <w:r w:rsidR="00E43B39" w:rsidRPr="00FF08A4">
        <w:rPr>
          <w:bCs/>
          <w:sz w:val="22"/>
          <w:szCs w:val="22"/>
        </w:rPr>
        <w:t xml:space="preserve"> proposed project will be carried out in coordination with, and where relevant, building on the on-going GEF funded and other donor/ partners supported projects, which are listed below:</w:t>
      </w:r>
    </w:p>
    <w:p w:rsidR="00E43B39" w:rsidRPr="00FF08A4" w:rsidRDefault="00E43B39" w:rsidP="00AD0C9A">
      <w:pPr>
        <w:numPr>
          <w:ilvl w:val="0"/>
          <w:numId w:val="12"/>
        </w:numPr>
        <w:jc w:val="both"/>
        <w:rPr>
          <w:sz w:val="22"/>
          <w:szCs w:val="22"/>
        </w:rPr>
      </w:pPr>
      <w:r w:rsidRPr="00FF08A4">
        <w:rPr>
          <w:sz w:val="22"/>
          <w:szCs w:val="22"/>
        </w:rPr>
        <w:t xml:space="preserve">UNEP-GEF PAS Implementing the Island Biodiversity Programme of Work by Integrating the Conservation Management of Island Biodiversity: this initiative is supporting a number of activities relevant to the proposed project, such as a programme to conserve rare </w:t>
      </w:r>
      <w:proofErr w:type="spellStart"/>
      <w:r w:rsidRPr="00FF08A4">
        <w:rPr>
          <w:sz w:val="22"/>
          <w:szCs w:val="22"/>
        </w:rPr>
        <w:t>Vairakau</w:t>
      </w:r>
      <w:proofErr w:type="spellEnd"/>
      <w:r w:rsidRPr="00FF08A4">
        <w:rPr>
          <w:sz w:val="22"/>
          <w:szCs w:val="22"/>
        </w:rPr>
        <w:t xml:space="preserve"> Maori (traditional medicine) plants; a program to conserve rare birds, rare plants and marine turtles in Mauke and northern islands; and a program to manage </w:t>
      </w:r>
      <w:proofErr w:type="spellStart"/>
      <w:r w:rsidRPr="00FF08A4">
        <w:rPr>
          <w:sz w:val="22"/>
          <w:szCs w:val="22"/>
        </w:rPr>
        <w:t>Teroto</w:t>
      </w:r>
      <w:proofErr w:type="spellEnd"/>
      <w:r w:rsidRPr="00FF08A4">
        <w:rPr>
          <w:sz w:val="22"/>
          <w:szCs w:val="22"/>
        </w:rPr>
        <w:t xml:space="preserve"> Nui and </w:t>
      </w:r>
      <w:proofErr w:type="spellStart"/>
      <w:r w:rsidRPr="00FF08A4">
        <w:rPr>
          <w:sz w:val="22"/>
          <w:szCs w:val="22"/>
        </w:rPr>
        <w:t>Teroto</w:t>
      </w:r>
      <w:proofErr w:type="spellEnd"/>
      <w:r w:rsidRPr="00FF08A4">
        <w:rPr>
          <w:sz w:val="22"/>
          <w:szCs w:val="22"/>
        </w:rPr>
        <w:t xml:space="preserve"> </w:t>
      </w:r>
      <w:proofErr w:type="spellStart"/>
      <w:r w:rsidRPr="00FF08A4">
        <w:rPr>
          <w:sz w:val="22"/>
          <w:szCs w:val="22"/>
        </w:rPr>
        <w:t>Iti</w:t>
      </w:r>
      <w:proofErr w:type="spellEnd"/>
      <w:r w:rsidRPr="00FF08A4">
        <w:rPr>
          <w:sz w:val="22"/>
          <w:szCs w:val="22"/>
        </w:rPr>
        <w:t xml:space="preserve"> </w:t>
      </w:r>
      <w:proofErr w:type="spellStart"/>
      <w:r w:rsidRPr="00FF08A4">
        <w:rPr>
          <w:sz w:val="22"/>
          <w:szCs w:val="22"/>
        </w:rPr>
        <w:t>te</w:t>
      </w:r>
      <w:proofErr w:type="spellEnd"/>
      <w:r w:rsidRPr="00FF08A4">
        <w:rPr>
          <w:sz w:val="22"/>
          <w:szCs w:val="22"/>
        </w:rPr>
        <w:t xml:space="preserve"> </w:t>
      </w:r>
      <w:proofErr w:type="spellStart"/>
      <w:r w:rsidRPr="00FF08A4">
        <w:rPr>
          <w:sz w:val="22"/>
          <w:szCs w:val="22"/>
        </w:rPr>
        <w:t>Pito</w:t>
      </w:r>
      <w:proofErr w:type="spellEnd"/>
      <w:r w:rsidRPr="00FF08A4">
        <w:rPr>
          <w:sz w:val="22"/>
          <w:szCs w:val="22"/>
        </w:rPr>
        <w:t xml:space="preserve"> o </w:t>
      </w:r>
      <w:proofErr w:type="spellStart"/>
      <w:r w:rsidRPr="00FF08A4">
        <w:rPr>
          <w:sz w:val="22"/>
          <w:szCs w:val="22"/>
        </w:rPr>
        <w:t>Kare</w:t>
      </w:r>
      <w:proofErr w:type="spellEnd"/>
      <w:r w:rsidRPr="00FF08A4">
        <w:rPr>
          <w:sz w:val="22"/>
          <w:szCs w:val="22"/>
        </w:rPr>
        <w:t xml:space="preserve"> (‘muddy lakes’) on </w:t>
      </w:r>
      <w:proofErr w:type="spellStart"/>
      <w:r w:rsidRPr="00FF08A4">
        <w:rPr>
          <w:sz w:val="22"/>
          <w:szCs w:val="22"/>
        </w:rPr>
        <w:t>Mitiaro</w:t>
      </w:r>
      <w:proofErr w:type="spellEnd"/>
      <w:r w:rsidRPr="00FF08A4">
        <w:rPr>
          <w:sz w:val="22"/>
          <w:szCs w:val="22"/>
        </w:rPr>
        <w:t>.</w:t>
      </w:r>
    </w:p>
    <w:p w:rsidR="00FF08A4" w:rsidRPr="00FF08A4" w:rsidRDefault="00E43B39" w:rsidP="00AD0C9A">
      <w:pPr>
        <w:numPr>
          <w:ilvl w:val="0"/>
          <w:numId w:val="12"/>
        </w:numPr>
        <w:jc w:val="both"/>
        <w:rPr>
          <w:sz w:val="22"/>
          <w:szCs w:val="22"/>
        </w:rPr>
      </w:pPr>
      <w:r w:rsidRPr="00FF08A4">
        <w:rPr>
          <w:sz w:val="22"/>
          <w:szCs w:val="22"/>
        </w:rPr>
        <w:t xml:space="preserve">The UNEP-GEF PAS Prevention, Control and Management of Invasive Alien Species in the Pacific Islands: This project is working in the following islands to support several activities such </w:t>
      </w:r>
      <w:r w:rsidR="00DA12FC" w:rsidRPr="00FF08A4">
        <w:rPr>
          <w:sz w:val="22"/>
          <w:szCs w:val="22"/>
        </w:rPr>
        <w:t>as ship</w:t>
      </w:r>
      <w:r w:rsidRPr="00FF08A4">
        <w:rPr>
          <w:sz w:val="22"/>
          <w:szCs w:val="22"/>
        </w:rPr>
        <w:t xml:space="preserve"> rat early detection surveillance (trapping and monitoring) on </w:t>
      </w:r>
      <w:proofErr w:type="spellStart"/>
      <w:r w:rsidRPr="00FF08A4">
        <w:rPr>
          <w:sz w:val="22"/>
          <w:szCs w:val="22"/>
        </w:rPr>
        <w:t>Aitutaki</w:t>
      </w:r>
      <w:proofErr w:type="spellEnd"/>
      <w:r w:rsidRPr="00FF08A4">
        <w:rPr>
          <w:sz w:val="22"/>
          <w:szCs w:val="22"/>
        </w:rPr>
        <w:t xml:space="preserve">, </w:t>
      </w:r>
      <w:proofErr w:type="spellStart"/>
      <w:r w:rsidRPr="00FF08A4">
        <w:rPr>
          <w:sz w:val="22"/>
          <w:szCs w:val="22"/>
        </w:rPr>
        <w:t>Suwarrow</w:t>
      </w:r>
      <w:proofErr w:type="spellEnd"/>
      <w:r w:rsidRPr="00FF08A4">
        <w:rPr>
          <w:sz w:val="22"/>
          <w:szCs w:val="22"/>
        </w:rPr>
        <w:t xml:space="preserve"> and </w:t>
      </w:r>
      <w:proofErr w:type="spellStart"/>
      <w:r w:rsidRPr="00FF08A4">
        <w:rPr>
          <w:sz w:val="22"/>
          <w:szCs w:val="22"/>
        </w:rPr>
        <w:t>Atiu</w:t>
      </w:r>
      <w:proofErr w:type="spellEnd"/>
      <w:r w:rsidR="00DA12FC" w:rsidRPr="00FF08A4">
        <w:rPr>
          <w:sz w:val="22"/>
          <w:szCs w:val="22"/>
        </w:rPr>
        <w:t>; promoting</w:t>
      </w:r>
      <w:r w:rsidRPr="00FF08A4">
        <w:rPr>
          <w:sz w:val="22"/>
          <w:szCs w:val="22"/>
        </w:rPr>
        <w:t xml:space="preserve"> management practices for </w:t>
      </w:r>
      <w:proofErr w:type="spellStart"/>
      <w:r w:rsidRPr="00FF08A4">
        <w:rPr>
          <w:sz w:val="22"/>
          <w:szCs w:val="22"/>
        </w:rPr>
        <w:t>Cuscuta</w:t>
      </w:r>
      <w:proofErr w:type="spellEnd"/>
      <w:r w:rsidRPr="00FF08A4">
        <w:rPr>
          <w:sz w:val="22"/>
          <w:szCs w:val="22"/>
        </w:rPr>
        <w:t xml:space="preserve"> and Beach Burr on </w:t>
      </w:r>
      <w:proofErr w:type="spellStart"/>
      <w:r w:rsidRPr="00FF08A4">
        <w:rPr>
          <w:sz w:val="22"/>
          <w:szCs w:val="22"/>
        </w:rPr>
        <w:t>Rarotonga</w:t>
      </w:r>
      <w:proofErr w:type="spellEnd"/>
      <w:r w:rsidRPr="00FF08A4">
        <w:rPr>
          <w:sz w:val="22"/>
          <w:szCs w:val="22"/>
        </w:rPr>
        <w:t xml:space="preserve"> and </w:t>
      </w:r>
      <w:proofErr w:type="spellStart"/>
      <w:r w:rsidRPr="00FF08A4">
        <w:rPr>
          <w:sz w:val="22"/>
          <w:szCs w:val="22"/>
        </w:rPr>
        <w:t>Pukapuka</w:t>
      </w:r>
      <w:proofErr w:type="spellEnd"/>
      <w:r w:rsidRPr="00FF08A4">
        <w:rPr>
          <w:sz w:val="22"/>
          <w:szCs w:val="22"/>
        </w:rPr>
        <w:t xml:space="preserve">; for sand flies on </w:t>
      </w:r>
      <w:proofErr w:type="spellStart"/>
      <w:r w:rsidRPr="00FF08A4">
        <w:rPr>
          <w:sz w:val="22"/>
          <w:szCs w:val="22"/>
        </w:rPr>
        <w:t>Aitutaki</w:t>
      </w:r>
      <w:proofErr w:type="spellEnd"/>
      <w:r w:rsidRPr="00FF08A4">
        <w:rPr>
          <w:sz w:val="22"/>
          <w:szCs w:val="22"/>
        </w:rPr>
        <w:t xml:space="preserve"> and </w:t>
      </w:r>
      <w:proofErr w:type="spellStart"/>
      <w:r w:rsidRPr="00FF08A4">
        <w:rPr>
          <w:sz w:val="22"/>
          <w:szCs w:val="22"/>
        </w:rPr>
        <w:t>Mitiaro</w:t>
      </w:r>
      <w:proofErr w:type="spellEnd"/>
      <w:r w:rsidRPr="00FF08A4">
        <w:rPr>
          <w:sz w:val="22"/>
          <w:szCs w:val="22"/>
        </w:rPr>
        <w:t>; and eradicate red passion fruit using best</w:t>
      </w:r>
      <w:r w:rsidR="00FF08A4" w:rsidRPr="00FF08A4">
        <w:rPr>
          <w:sz w:val="22"/>
          <w:szCs w:val="22"/>
        </w:rPr>
        <w:t xml:space="preserve"> management practices in Mauke.</w:t>
      </w:r>
    </w:p>
    <w:p w:rsidR="00C84542" w:rsidRPr="00C84542" w:rsidRDefault="005153D6" w:rsidP="004658C7">
      <w:pPr>
        <w:numPr>
          <w:ilvl w:val="0"/>
          <w:numId w:val="12"/>
        </w:numPr>
        <w:jc w:val="both"/>
        <w:rPr>
          <w:sz w:val="22"/>
          <w:szCs w:val="22"/>
        </w:rPr>
      </w:pPr>
      <w:r w:rsidRPr="00FF08A4">
        <w:rPr>
          <w:sz w:val="22"/>
          <w:szCs w:val="22"/>
        </w:rPr>
        <w:t>Cook Islands Ridge to Reef Project</w:t>
      </w:r>
      <w:r w:rsidR="00FF08A4" w:rsidRPr="00FF08A4">
        <w:rPr>
          <w:sz w:val="22"/>
          <w:szCs w:val="22"/>
        </w:rPr>
        <w:t xml:space="preserve"> –this UNDP-GEF project is currently under design and it intends to support the operationalization of a large marine protected area in the country. </w:t>
      </w:r>
      <w:r w:rsidR="004658C7">
        <w:rPr>
          <w:sz w:val="22"/>
          <w:szCs w:val="22"/>
        </w:rPr>
        <w:t xml:space="preserve">This project will ensure that there is strong coordination and cooperation between the two </w:t>
      </w:r>
      <w:r w:rsidR="00816D79">
        <w:rPr>
          <w:sz w:val="22"/>
          <w:szCs w:val="22"/>
        </w:rPr>
        <w:t>projects</w:t>
      </w:r>
      <w:r w:rsidR="004658C7">
        <w:rPr>
          <w:sz w:val="22"/>
          <w:szCs w:val="22"/>
        </w:rPr>
        <w:t xml:space="preserve"> on issues of capacity </w:t>
      </w:r>
      <w:r w:rsidR="004658C7" w:rsidRPr="00C84542">
        <w:rPr>
          <w:sz w:val="22"/>
          <w:szCs w:val="22"/>
        </w:rPr>
        <w:t xml:space="preserve">building and awareness </w:t>
      </w:r>
      <w:proofErr w:type="gramStart"/>
      <w:r w:rsidR="004658C7" w:rsidRPr="00C84542">
        <w:rPr>
          <w:sz w:val="22"/>
          <w:szCs w:val="22"/>
        </w:rPr>
        <w:t>raising</w:t>
      </w:r>
      <w:proofErr w:type="gramEnd"/>
      <w:r w:rsidR="004658C7" w:rsidRPr="00C84542">
        <w:rPr>
          <w:sz w:val="22"/>
          <w:szCs w:val="22"/>
        </w:rPr>
        <w:t xml:space="preserve">. </w:t>
      </w:r>
      <w:bookmarkEnd w:id="6"/>
    </w:p>
    <w:p w:rsidR="00D77DC7" w:rsidRPr="00E05E88" w:rsidRDefault="00C84542" w:rsidP="00C84542">
      <w:pPr>
        <w:numPr>
          <w:ilvl w:val="0"/>
          <w:numId w:val="12"/>
        </w:numPr>
        <w:jc w:val="both"/>
        <w:rPr>
          <w:b/>
          <w:caps/>
          <w:sz w:val="22"/>
          <w:szCs w:val="22"/>
          <w:u w:val="single"/>
        </w:rPr>
      </w:pPr>
      <w:r w:rsidRPr="00C84542">
        <w:rPr>
          <w:sz w:val="22"/>
          <w:szCs w:val="22"/>
        </w:rPr>
        <w:t>ABS Capacity Development Initiative: This GIZ</w:t>
      </w:r>
      <w:r w:rsidRPr="00C84542">
        <w:rPr>
          <w:rFonts w:ascii="Cambria Math" w:hAnsi="Cambria Math" w:cs="Cambria Math"/>
          <w:sz w:val="22"/>
          <w:szCs w:val="22"/>
        </w:rPr>
        <w:t>‐</w:t>
      </w:r>
      <w:r w:rsidRPr="00C84542">
        <w:rPr>
          <w:sz w:val="22"/>
          <w:szCs w:val="22"/>
        </w:rPr>
        <w:t>implemented multi</w:t>
      </w:r>
      <w:r w:rsidRPr="00C84542">
        <w:rPr>
          <w:rFonts w:ascii="Cambria Math" w:hAnsi="Cambria Math" w:cs="Cambria Math"/>
          <w:sz w:val="22"/>
          <w:szCs w:val="22"/>
        </w:rPr>
        <w:t>‐</w:t>
      </w:r>
      <w:r w:rsidRPr="00C84542">
        <w:rPr>
          <w:sz w:val="22"/>
          <w:szCs w:val="22"/>
        </w:rPr>
        <w:t xml:space="preserve">donor project is supporting capacity building </w:t>
      </w:r>
      <w:r w:rsidR="00897F0E">
        <w:rPr>
          <w:sz w:val="22"/>
          <w:szCs w:val="22"/>
        </w:rPr>
        <w:t xml:space="preserve">in </w:t>
      </w:r>
      <w:r w:rsidRPr="00C84542">
        <w:rPr>
          <w:sz w:val="22"/>
          <w:szCs w:val="22"/>
        </w:rPr>
        <w:t>the Pacific</w:t>
      </w:r>
      <w:r>
        <w:rPr>
          <w:sz w:val="22"/>
          <w:szCs w:val="22"/>
        </w:rPr>
        <w:t xml:space="preserve">. The UNDP-GEF project will work closely with </w:t>
      </w:r>
      <w:r w:rsidR="0013726F">
        <w:rPr>
          <w:sz w:val="22"/>
          <w:szCs w:val="22"/>
        </w:rPr>
        <w:t>this regional initiative</w:t>
      </w:r>
      <w:r>
        <w:rPr>
          <w:sz w:val="22"/>
          <w:szCs w:val="22"/>
        </w:rPr>
        <w:t xml:space="preserve"> to ensure that there is no duplication of activities, and that </w:t>
      </w:r>
      <w:r w:rsidR="001D67DD">
        <w:rPr>
          <w:sz w:val="22"/>
          <w:szCs w:val="22"/>
        </w:rPr>
        <w:t>lesson</w:t>
      </w:r>
      <w:r>
        <w:rPr>
          <w:sz w:val="22"/>
          <w:szCs w:val="22"/>
        </w:rPr>
        <w:t xml:space="preserve"> from around the region informs the project’s actions in the CI and lessons from the CI are also fed back to other countries.</w:t>
      </w:r>
    </w:p>
    <w:p w:rsidR="00E05E88" w:rsidRPr="000D0713" w:rsidRDefault="00E05E88" w:rsidP="00C84542">
      <w:pPr>
        <w:numPr>
          <w:ilvl w:val="0"/>
          <w:numId w:val="12"/>
        </w:numPr>
        <w:jc w:val="both"/>
        <w:rPr>
          <w:b/>
          <w:caps/>
          <w:sz w:val="22"/>
          <w:szCs w:val="22"/>
          <w:u w:val="single"/>
        </w:rPr>
      </w:pPr>
      <w:r w:rsidRPr="000D0713">
        <w:rPr>
          <w:bCs/>
          <w:color w:val="000000"/>
          <w:sz w:val="22"/>
          <w:szCs w:val="22"/>
          <w:lang w:val="en-AU" w:eastAsia="en-AU"/>
        </w:rPr>
        <w:t xml:space="preserve">UNEP – GEF medium size project ‘Ratification and Implementation of the Nagoya Protocol in the countries of the Pacific’ – to be delivered in partnership with SPREP (this project will cover a number of Pacific countries, including </w:t>
      </w:r>
      <w:r w:rsidR="000D0713" w:rsidRPr="000D0713">
        <w:rPr>
          <w:bCs/>
          <w:color w:val="000000"/>
          <w:sz w:val="22"/>
          <w:szCs w:val="22"/>
          <w:lang w:val="en-AU" w:eastAsia="en-AU"/>
        </w:rPr>
        <w:t>Cook Islands</w:t>
      </w:r>
      <w:r w:rsidRPr="000D0713">
        <w:rPr>
          <w:bCs/>
          <w:color w:val="000000"/>
          <w:sz w:val="22"/>
          <w:szCs w:val="22"/>
          <w:lang w:val="en-AU" w:eastAsia="en-AU"/>
        </w:rPr>
        <w:t>)</w:t>
      </w:r>
      <w:r w:rsidR="000D0713" w:rsidRPr="000D0713">
        <w:rPr>
          <w:bCs/>
          <w:color w:val="000000"/>
          <w:sz w:val="22"/>
          <w:szCs w:val="22"/>
          <w:lang w:val="en-AU" w:eastAsia="en-AU"/>
        </w:rPr>
        <w:t xml:space="preserve">. </w:t>
      </w:r>
      <w:r w:rsidR="000D0713" w:rsidRPr="000D0713">
        <w:rPr>
          <w:color w:val="000000"/>
          <w:sz w:val="22"/>
          <w:szCs w:val="22"/>
          <w:lang w:val="en-AU" w:eastAsia="en-AU"/>
        </w:rPr>
        <w:t>This project will undertake a scoping study of the existing laws and regulations related to ABS in the countries, develop a strategy and action plan for the implementation of ABS measures, and build capacity among stakeholders with particular emphasis in the Government agencies in charge of making the protocol operational. The project will also have an emphasis of learning from other countries in their implementation of the Nagoya protocol. Strong coordination between the two projects will be required. A meeting will be held in November 2013 to ensure the coordination and synergy between these two projects.</w:t>
      </w:r>
    </w:p>
    <w:p w:rsidR="00F12A0E" w:rsidRPr="00C84542" w:rsidRDefault="00F12A0E" w:rsidP="00F12A0E">
      <w:pPr>
        <w:jc w:val="both"/>
        <w:rPr>
          <w:b/>
          <w:caps/>
          <w:sz w:val="22"/>
          <w:szCs w:val="22"/>
          <w:u w:val="single"/>
        </w:rPr>
      </w:pPr>
      <w:r>
        <w:rPr>
          <w:sz w:val="22"/>
          <w:szCs w:val="22"/>
        </w:rPr>
        <w:t xml:space="preserve">A Technical Working Group will be established that ensembles technical experts on biodiversity and ABS-related issues and all the related projects in the Cook Islands will be presented on this group. Regular meetings will be held between the </w:t>
      </w:r>
      <w:r>
        <w:rPr>
          <w:sz w:val="22"/>
          <w:szCs w:val="22"/>
        </w:rPr>
        <w:lastRenderedPageBreak/>
        <w:t xml:space="preserve">different projects to leverage synergies and ensure efficiency in implementing the projects. The studies conducted and information gathered under the other projects will be integrated into project development and implementation. </w:t>
      </w:r>
    </w:p>
    <w:p w:rsidR="00C84542" w:rsidRPr="00C84542" w:rsidRDefault="00C84542" w:rsidP="00C84542">
      <w:pPr>
        <w:jc w:val="both"/>
        <w:rPr>
          <w:b/>
          <w:caps/>
          <w:sz w:val="22"/>
          <w:szCs w:val="22"/>
          <w:u w:val="single"/>
        </w:rPr>
      </w:pPr>
    </w:p>
    <w:p w:rsidR="00E7482D" w:rsidRPr="0001061D" w:rsidRDefault="00E7482D" w:rsidP="00606431">
      <w:pPr>
        <w:numPr>
          <w:ilvl w:val="0"/>
          <w:numId w:val="2"/>
        </w:numPr>
        <w:tabs>
          <w:tab w:val="clear" w:pos="720"/>
        </w:tabs>
        <w:spacing w:after="80"/>
        <w:ind w:left="0" w:firstLine="0"/>
        <w:jc w:val="both"/>
        <w:rPr>
          <w:sz w:val="22"/>
          <w:szCs w:val="22"/>
        </w:rPr>
      </w:pPr>
      <w:r w:rsidRPr="0001061D">
        <w:rPr>
          <w:b/>
          <w:smallCaps/>
          <w:sz w:val="22"/>
          <w:szCs w:val="22"/>
        </w:rPr>
        <w:t>Description of the consistency of the</w:t>
      </w:r>
      <w:r w:rsidRPr="0001061D">
        <w:rPr>
          <w:smallCaps/>
          <w:sz w:val="22"/>
          <w:szCs w:val="22"/>
        </w:rPr>
        <w:t xml:space="preserve"> </w:t>
      </w:r>
      <w:r w:rsidRPr="0001061D">
        <w:rPr>
          <w:b/>
          <w:smallCaps/>
          <w:sz w:val="22"/>
          <w:szCs w:val="22"/>
        </w:rPr>
        <w:t>project with:</w:t>
      </w:r>
    </w:p>
    <w:p w:rsidR="00E7482D" w:rsidRPr="0001061D" w:rsidRDefault="00E7482D" w:rsidP="00606431">
      <w:pPr>
        <w:spacing w:after="80"/>
        <w:jc w:val="both"/>
        <w:rPr>
          <w:b/>
          <w:bCs/>
          <w:sz w:val="22"/>
          <w:szCs w:val="22"/>
        </w:rPr>
      </w:pPr>
      <w:r w:rsidRPr="0001061D">
        <w:rPr>
          <w:b/>
          <w:bCs/>
          <w:sz w:val="22"/>
          <w:szCs w:val="22"/>
        </w:rPr>
        <w:t xml:space="preserve">B.1   National strategies and plans or reports and assessments under relevant conventions, </w:t>
      </w:r>
      <w:r w:rsidR="00F46908" w:rsidRPr="0001061D">
        <w:rPr>
          <w:b/>
          <w:bCs/>
          <w:sz w:val="22"/>
          <w:szCs w:val="22"/>
        </w:rPr>
        <w:t>if applicable</w:t>
      </w:r>
      <w:r w:rsidRPr="0001061D">
        <w:rPr>
          <w:b/>
          <w:bCs/>
          <w:sz w:val="22"/>
          <w:szCs w:val="22"/>
        </w:rPr>
        <w:t>, i.e. NAPAS, NAPs, NBSAPs, national communications</w:t>
      </w:r>
      <w:r w:rsidR="00F46908" w:rsidRPr="0001061D">
        <w:rPr>
          <w:b/>
          <w:bCs/>
          <w:sz w:val="22"/>
          <w:szCs w:val="22"/>
        </w:rPr>
        <w:t>, TNAs</w:t>
      </w:r>
      <w:r w:rsidRPr="0001061D">
        <w:rPr>
          <w:b/>
          <w:bCs/>
          <w:sz w:val="22"/>
          <w:szCs w:val="22"/>
        </w:rPr>
        <w:t xml:space="preserve">, NIPs, PRSPs, NPFE, etc.:  </w:t>
      </w:r>
    </w:p>
    <w:p w:rsidR="001A5481" w:rsidRPr="00D60B47" w:rsidRDefault="00844F7E" w:rsidP="00606431">
      <w:pPr>
        <w:spacing w:after="80"/>
        <w:jc w:val="both"/>
        <w:rPr>
          <w:sz w:val="22"/>
          <w:szCs w:val="22"/>
        </w:rPr>
      </w:pPr>
      <w:r w:rsidRPr="00D60B47">
        <w:rPr>
          <w:sz w:val="22"/>
          <w:szCs w:val="22"/>
        </w:rPr>
        <w:t>The project will directly support the implementation of the Cook Islands’ National Sustainable Development Plan (NSDP</w:t>
      </w:r>
      <w:r w:rsidR="00DA12FC" w:rsidRPr="00D60B47">
        <w:rPr>
          <w:sz w:val="22"/>
          <w:szCs w:val="22"/>
        </w:rPr>
        <w:t>) (</w:t>
      </w:r>
      <w:r w:rsidRPr="00D60B47">
        <w:rPr>
          <w:sz w:val="22"/>
          <w:szCs w:val="22"/>
        </w:rPr>
        <w:t>2011-2015). The Government has identified</w:t>
      </w:r>
      <w:r w:rsidR="001A5481" w:rsidRPr="00D60B47">
        <w:rPr>
          <w:sz w:val="22"/>
          <w:szCs w:val="22"/>
        </w:rPr>
        <w:t xml:space="preserve">, under its Priority Area 1 “Economic Development” the following key objectives, which this project will directly contribute towards </w:t>
      </w:r>
    </w:p>
    <w:p w:rsidR="001A5481" w:rsidRPr="00D60B47" w:rsidRDefault="001A5481" w:rsidP="00736589">
      <w:pPr>
        <w:pStyle w:val="ListParagraph"/>
        <w:numPr>
          <w:ilvl w:val="0"/>
          <w:numId w:val="35"/>
        </w:numPr>
        <w:rPr>
          <w:sz w:val="22"/>
          <w:szCs w:val="22"/>
        </w:rPr>
      </w:pPr>
      <w:r w:rsidRPr="00D60B47">
        <w:rPr>
          <w:sz w:val="22"/>
          <w:szCs w:val="22"/>
        </w:rPr>
        <w:t xml:space="preserve">An energised and growing green economy through supporting our key economic drivers and encouraging environmentally sound innovation in potential areas of growth. </w:t>
      </w:r>
    </w:p>
    <w:p w:rsidR="001A5481" w:rsidRPr="00D60B47" w:rsidRDefault="001A5481" w:rsidP="00736589">
      <w:pPr>
        <w:pStyle w:val="ListParagraph"/>
        <w:numPr>
          <w:ilvl w:val="0"/>
          <w:numId w:val="35"/>
        </w:numPr>
        <w:rPr>
          <w:sz w:val="22"/>
          <w:szCs w:val="22"/>
        </w:rPr>
      </w:pPr>
      <w:r w:rsidRPr="00D60B47">
        <w:rPr>
          <w:sz w:val="22"/>
          <w:szCs w:val="22"/>
        </w:rPr>
        <w:t xml:space="preserve">Enterprise is </w:t>
      </w:r>
      <w:r w:rsidR="00F12A0E">
        <w:rPr>
          <w:sz w:val="22"/>
          <w:szCs w:val="22"/>
        </w:rPr>
        <w:t>enabled by establishing an inno</w:t>
      </w:r>
      <w:r w:rsidRPr="00D60B47">
        <w:rPr>
          <w:sz w:val="22"/>
          <w:szCs w:val="22"/>
        </w:rPr>
        <w:t xml:space="preserve">vative environment conducive for existing businesses to confidently grow and for new businesses to start, grow and thrive in our communities. </w:t>
      </w:r>
    </w:p>
    <w:p w:rsidR="001A5481" w:rsidRPr="00D60B47" w:rsidRDefault="001A5481" w:rsidP="00736589">
      <w:pPr>
        <w:pStyle w:val="ListParagraph"/>
        <w:numPr>
          <w:ilvl w:val="0"/>
          <w:numId w:val="35"/>
        </w:numPr>
        <w:rPr>
          <w:sz w:val="22"/>
          <w:szCs w:val="22"/>
        </w:rPr>
      </w:pPr>
      <w:r w:rsidRPr="00D60B47">
        <w:rPr>
          <w:sz w:val="22"/>
          <w:szCs w:val="22"/>
        </w:rPr>
        <w:t>Our Cook Islands cultural and environmental values are integral to business decision making and practice.</w:t>
      </w:r>
    </w:p>
    <w:p w:rsidR="00844F7E" w:rsidRPr="0001061D" w:rsidRDefault="00EA7373" w:rsidP="00606431">
      <w:pPr>
        <w:spacing w:after="80"/>
        <w:jc w:val="both"/>
        <w:rPr>
          <w:bCs/>
          <w:sz w:val="22"/>
          <w:szCs w:val="22"/>
        </w:rPr>
      </w:pPr>
      <w:r w:rsidRPr="00D60B47">
        <w:rPr>
          <w:sz w:val="22"/>
          <w:szCs w:val="22"/>
        </w:rPr>
        <w:t>The plan also explicitly presents “The use of all our natural resources are managed well to ensure their sustainability” as one of its key</w:t>
      </w:r>
      <w:r w:rsidR="00844F7E" w:rsidRPr="00D60B47">
        <w:rPr>
          <w:sz w:val="22"/>
          <w:szCs w:val="22"/>
        </w:rPr>
        <w:t xml:space="preserve"> </w:t>
      </w:r>
      <w:r w:rsidRPr="00D60B47">
        <w:rPr>
          <w:sz w:val="22"/>
          <w:szCs w:val="22"/>
        </w:rPr>
        <w:t>Objectives, to which this project wil</w:t>
      </w:r>
      <w:r w:rsidR="00D60B47">
        <w:rPr>
          <w:sz w:val="22"/>
          <w:szCs w:val="22"/>
        </w:rPr>
        <w:t xml:space="preserve">l directly contribute towards. </w:t>
      </w:r>
      <w:r w:rsidR="00844F7E" w:rsidRPr="00D60B47">
        <w:rPr>
          <w:bCs/>
          <w:sz w:val="22"/>
          <w:szCs w:val="22"/>
        </w:rPr>
        <w:t>The project will also directly contribute</w:t>
      </w:r>
      <w:r w:rsidR="00844F7E" w:rsidRPr="0001061D">
        <w:rPr>
          <w:bCs/>
          <w:sz w:val="22"/>
          <w:szCs w:val="22"/>
        </w:rPr>
        <w:t xml:space="preserve"> to the Cook Island’s NBSAP Strategic Goal </w:t>
      </w:r>
      <w:r w:rsidR="00EC36D3" w:rsidRPr="00EC36D3">
        <w:rPr>
          <w:bCs/>
          <w:sz w:val="22"/>
          <w:szCs w:val="22"/>
        </w:rPr>
        <w:t>D: Ensure that the uses of biodiversity, including genetic resources, bring equitable benefits to relevant stakeholders</w:t>
      </w:r>
      <w:r w:rsidR="00EC36D3" w:rsidRPr="00930EEA">
        <w:rPr>
          <w:bCs/>
          <w:sz w:val="22"/>
          <w:szCs w:val="22"/>
        </w:rPr>
        <w:t xml:space="preserve">. </w:t>
      </w:r>
      <w:r w:rsidR="00844F7E" w:rsidRPr="0001061D">
        <w:rPr>
          <w:bCs/>
          <w:sz w:val="22"/>
          <w:szCs w:val="22"/>
        </w:rPr>
        <w:t xml:space="preserve">The project will also contribute to Strategic Goal F: Make biodiversity information more readily available to all stakeholders and interested people and Strategic Goal H: Secure long-term financial sustainability for all biodiversity related activities and programmes. </w:t>
      </w:r>
    </w:p>
    <w:p w:rsidR="00F553BE" w:rsidRPr="00165912" w:rsidRDefault="00844F7E" w:rsidP="00606431">
      <w:pPr>
        <w:spacing w:after="80"/>
        <w:jc w:val="both"/>
        <w:rPr>
          <w:bCs/>
          <w:sz w:val="22"/>
          <w:szCs w:val="22"/>
        </w:rPr>
      </w:pPr>
      <w:r w:rsidRPr="0001061D">
        <w:rPr>
          <w:bCs/>
          <w:sz w:val="22"/>
          <w:szCs w:val="22"/>
        </w:rPr>
        <w:t xml:space="preserve">The project will directly support the </w:t>
      </w:r>
      <w:r w:rsidR="005C1861">
        <w:rPr>
          <w:bCs/>
          <w:sz w:val="22"/>
          <w:szCs w:val="22"/>
        </w:rPr>
        <w:t>Cook Islands</w:t>
      </w:r>
      <w:r w:rsidR="0047781F" w:rsidRPr="0001061D">
        <w:rPr>
          <w:bCs/>
          <w:sz w:val="22"/>
          <w:szCs w:val="22"/>
        </w:rPr>
        <w:t xml:space="preserve"> to</w:t>
      </w:r>
      <w:r w:rsidRPr="0001061D">
        <w:rPr>
          <w:bCs/>
          <w:sz w:val="22"/>
          <w:szCs w:val="22"/>
        </w:rPr>
        <w:t xml:space="preserve"> achieve the following Aichi Targets; especially </w:t>
      </w:r>
      <w:r w:rsidR="0047781F" w:rsidRPr="0001061D">
        <w:rPr>
          <w:bCs/>
          <w:sz w:val="22"/>
          <w:szCs w:val="22"/>
        </w:rPr>
        <w:t>those under</w:t>
      </w:r>
      <w:r w:rsidRPr="0001061D">
        <w:rPr>
          <w:bCs/>
          <w:sz w:val="22"/>
          <w:szCs w:val="22"/>
        </w:rPr>
        <w:t xml:space="preserve"> </w:t>
      </w:r>
      <w:r w:rsidR="003A43CF" w:rsidRPr="00165912">
        <w:rPr>
          <w:bCs/>
          <w:iCs/>
          <w:sz w:val="22"/>
          <w:szCs w:val="22"/>
        </w:rPr>
        <w:t>Strategic Goal D: Enhance the benefits to all from biodiversity and ecosystem services</w:t>
      </w:r>
      <w:r w:rsidR="00165912" w:rsidRPr="00165912">
        <w:rPr>
          <w:bCs/>
          <w:iCs/>
          <w:sz w:val="22"/>
          <w:szCs w:val="22"/>
        </w:rPr>
        <w:t>, particularly</w:t>
      </w:r>
      <w:r w:rsidR="003A43CF" w:rsidRPr="00165912">
        <w:rPr>
          <w:bCs/>
          <w:sz w:val="22"/>
          <w:szCs w:val="22"/>
        </w:rPr>
        <w:t xml:space="preserve"> </w:t>
      </w:r>
      <w:r w:rsidR="00165912" w:rsidRPr="00165912">
        <w:rPr>
          <w:bCs/>
          <w:sz w:val="22"/>
          <w:szCs w:val="22"/>
        </w:rPr>
        <w:t>Target 16</w:t>
      </w:r>
      <w:r w:rsidR="0059191A">
        <w:rPr>
          <w:bCs/>
          <w:sz w:val="22"/>
          <w:szCs w:val="22"/>
        </w:rPr>
        <w:t xml:space="preserve">. </w:t>
      </w:r>
      <w:r w:rsidR="00165912" w:rsidRPr="00165912">
        <w:rPr>
          <w:bCs/>
          <w:sz w:val="22"/>
          <w:szCs w:val="22"/>
        </w:rPr>
        <w:t>By 2015, the Nagoya Protocol on Access to Genetic Resources and the Fair and Equitable Sharing of Benefits Arising from their Utilization is in force and operational, consistent with national legislation.</w:t>
      </w:r>
      <w:r w:rsidR="00165912">
        <w:rPr>
          <w:bCs/>
          <w:sz w:val="22"/>
          <w:szCs w:val="22"/>
        </w:rPr>
        <w:t xml:space="preserve"> </w:t>
      </w:r>
    </w:p>
    <w:p w:rsidR="00F553BE" w:rsidRPr="0001061D" w:rsidRDefault="00F553BE" w:rsidP="00606431">
      <w:pPr>
        <w:spacing w:after="80"/>
        <w:jc w:val="both"/>
        <w:rPr>
          <w:bCs/>
          <w:sz w:val="22"/>
          <w:szCs w:val="22"/>
        </w:rPr>
      </w:pPr>
    </w:p>
    <w:p w:rsidR="000B5EE2" w:rsidRDefault="00DA12FC" w:rsidP="00606431">
      <w:pPr>
        <w:spacing w:after="80"/>
        <w:jc w:val="both"/>
        <w:rPr>
          <w:b/>
          <w:bCs/>
          <w:sz w:val="22"/>
          <w:szCs w:val="22"/>
        </w:rPr>
      </w:pPr>
      <w:r w:rsidRPr="0001061D">
        <w:rPr>
          <w:b/>
          <w:bCs/>
          <w:sz w:val="22"/>
          <w:szCs w:val="22"/>
        </w:rPr>
        <w:t>B.2 GEF</w:t>
      </w:r>
      <w:r w:rsidR="00E7482D" w:rsidRPr="0001061D">
        <w:rPr>
          <w:b/>
          <w:bCs/>
          <w:sz w:val="22"/>
          <w:szCs w:val="22"/>
        </w:rPr>
        <w:t xml:space="preserve"> focal area and/or fund(s) strategies, eligib</w:t>
      </w:r>
      <w:bookmarkStart w:id="7" w:name="eligibilityCriteria"/>
      <w:r w:rsidR="00F12A0E">
        <w:rPr>
          <w:b/>
          <w:bCs/>
          <w:sz w:val="22"/>
          <w:szCs w:val="22"/>
        </w:rPr>
        <w:t>ility criteria and priorities:</w:t>
      </w:r>
    </w:p>
    <w:p w:rsidR="00BC33F3" w:rsidRPr="000B5EE2" w:rsidRDefault="000B5EE2" w:rsidP="00606431">
      <w:pPr>
        <w:spacing w:after="80"/>
        <w:jc w:val="both"/>
        <w:rPr>
          <w:b/>
          <w:bCs/>
          <w:sz w:val="22"/>
          <w:szCs w:val="22"/>
        </w:rPr>
      </w:pPr>
      <w:r w:rsidRPr="000B5EE2">
        <w:rPr>
          <w:bCs/>
          <w:sz w:val="22"/>
          <w:szCs w:val="22"/>
        </w:rPr>
        <w:t xml:space="preserve">This project </w:t>
      </w:r>
      <w:r w:rsidR="00A21934" w:rsidRPr="000B5EE2">
        <w:rPr>
          <w:bCs/>
          <w:sz w:val="22"/>
          <w:szCs w:val="22"/>
        </w:rPr>
        <w:t>is consistent with the follow</w:t>
      </w:r>
      <w:r w:rsidR="00F12A0E">
        <w:rPr>
          <w:bCs/>
          <w:sz w:val="22"/>
          <w:szCs w:val="22"/>
        </w:rPr>
        <w:t xml:space="preserve">ing objectives of the NPIF: a) </w:t>
      </w:r>
      <w:r w:rsidR="00A21934" w:rsidRPr="000B5EE2">
        <w:rPr>
          <w:bCs/>
          <w:sz w:val="22"/>
          <w:szCs w:val="22"/>
        </w:rPr>
        <w:t>Support Parties in reviewing their own capacities and needs on ABS with a focus on the provisions of existing national policies, laws, and regulations and to strengthen the enabling environment at national level through the development of appropriate policy and institutional measures to promote the fair and equitable sharing of benefits arising from the utilization of genetic resources, including by appropriate access to genetic resources; b)</w:t>
      </w:r>
      <w:r w:rsidR="00F12A0E">
        <w:rPr>
          <w:bCs/>
          <w:sz w:val="22"/>
          <w:szCs w:val="22"/>
        </w:rPr>
        <w:t xml:space="preserve"> </w:t>
      </w:r>
      <w:r w:rsidR="00A21934" w:rsidRPr="000B5EE2">
        <w:rPr>
          <w:bCs/>
          <w:sz w:val="22"/>
          <w:szCs w:val="22"/>
        </w:rPr>
        <w:t>Support Parties to implement national and regional projects to promote technology transfer on mutually agreed terms, private sector engagement, and projects targeting investments in the conservation and sustainable use of genetic resources in-situ to accelerate the ratification and implementation of the Protocol; c) Support Parties to undertake activities to increase public awareness regarding the implications of the Nagoya Protocol; and d) Support Parties to further the knowledge and scientific-base for the implementation of the Nagoya Protocol.</w:t>
      </w:r>
    </w:p>
    <w:p w:rsidR="00C73736" w:rsidRPr="0001061D" w:rsidRDefault="00C73736" w:rsidP="00606431">
      <w:pPr>
        <w:tabs>
          <w:tab w:val="left" w:pos="0"/>
        </w:tabs>
        <w:jc w:val="both"/>
        <w:rPr>
          <w:bCs/>
          <w:sz w:val="22"/>
          <w:szCs w:val="22"/>
        </w:rPr>
      </w:pPr>
    </w:p>
    <w:p w:rsidR="00293C48" w:rsidRPr="0001061D" w:rsidRDefault="00E7482D" w:rsidP="00606431">
      <w:pPr>
        <w:pStyle w:val="NumberedParasinaPIF"/>
        <w:rPr>
          <w:noProof w:val="0"/>
          <w:szCs w:val="20"/>
        </w:rPr>
      </w:pPr>
      <w:r w:rsidRPr="0001061D">
        <w:rPr>
          <w:b/>
          <w:bCs/>
          <w:noProof w:val="0"/>
          <w:sz w:val="22"/>
        </w:rPr>
        <w:t xml:space="preserve">B.3 </w:t>
      </w:r>
      <w:proofErr w:type="gramStart"/>
      <w:r w:rsidRPr="0001061D">
        <w:rPr>
          <w:b/>
          <w:bCs/>
          <w:noProof w:val="0"/>
          <w:sz w:val="22"/>
        </w:rPr>
        <w:t>The</w:t>
      </w:r>
      <w:proofErr w:type="gramEnd"/>
      <w:r w:rsidRPr="0001061D">
        <w:rPr>
          <w:b/>
          <w:bCs/>
          <w:noProof w:val="0"/>
          <w:sz w:val="22"/>
        </w:rPr>
        <w:t xml:space="preserve"> GEF agency’s comparative advantage to implement this project:</w:t>
      </w:r>
    </w:p>
    <w:p w:rsidR="00406552" w:rsidRPr="0001061D" w:rsidRDefault="00406552" w:rsidP="00606431">
      <w:pPr>
        <w:tabs>
          <w:tab w:val="num" w:pos="900"/>
        </w:tabs>
        <w:jc w:val="both"/>
        <w:rPr>
          <w:sz w:val="22"/>
          <w:szCs w:val="22"/>
        </w:rPr>
      </w:pPr>
      <w:r w:rsidRPr="0001061D">
        <w:rPr>
          <w:sz w:val="22"/>
          <w:szCs w:val="22"/>
        </w:rPr>
        <w:t xml:space="preserve">UNDP has supported a number of national level planning and assessments on environmental issues in the past. With the support from the GEF, UNDP has supported the development of the National Biodiversity Strategy and Action Plan, to implement a Biodiversity Enabling Activity 'Add-on' Component and also to undertake a National Capacity Self-Assessment. In addition, UNDP also implemented several regional/ global projects that have had a component for the Cook Islands. For example, it implemented the GEF funded South Pacific Biodiversity Conservation Programme, a capacity building project on Sustainable Land Management, and another on Integrated Water Resources Management. Under the International Waters programme, UNDP has also implemented several GEF supported projects in the country, such as the Implementation of the Strategic Action Programme (SAP) of the Pacific Small Island Developing States; Pacific Islands Oceanic Fisheries Management Project; PAS Implementing Sustainable Integrated Water Resource and Wastewater Management in the Pacific Island Countries ; and the Implementation of Global and Regional Oceanic Fisheries Conventions and Related Instruments in the Pacific Small Island Developing States (SIDS). UNDP has also supported Sustainable Village Development Plans development in </w:t>
      </w:r>
      <w:proofErr w:type="spellStart"/>
      <w:r w:rsidRPr="0001061D">
        <w:rPr>
          <w:sz w:val="22"/>
          <w:szCs w:val="22"/>
        </w:rPr>
        <w:t>Pukapuka</w:t>
      </w:r>
      <w:proofErr w:type="spellEnd"/>
      <w:r w:rsidRPr="0001061D">
        <w:rPr>
          <w:sz w:val="22"/>
          <w:szCs w:val="22"/>
        </w:rPr>
        <w:t xml:space="preserve"> and </w:t>
      </w:r>
      <w:proofErr w:type="spellStart"/>
      <w:r w:rsidRPr="0001061D">
        <w:rPr>
          <w:sz w:val="22"/>
          <w:szCs w:val="22"/>
        </w:rPr>
        <w:t>Mitiaro</w:t>
      </w:r>
      <w:proofErr w:type="spellEnd"/>
      <w:r w:rsidRPr="0001061D">
        <w:rPr>
          <w:sz w:val="22"/>
          <w:szCs w:val="22"/>
        </w:rPr>
        <w:t xml:space="preserve"> islands, and similar exercises are being planned in </w:t>
      </w:r>
      <w:proofErr w:type="spellStart"/>
      <w:r w:rsidRPr="0001061D">
        <w:rPr>
          <w:sz w:val="22"/>
          <w:szCs w:val="22"/>
        </w:rPr>
        <w:t>Rarotonga</w:t>
      </w:r>
      <w:proofErr w:type="spellEnd"/>
      <w:r w:rsidRPr="0001061D">
        <w:rPr>
          <w:sz w:val="22"/>
          <w:szCs w:val="22"/>
        </w:rPr>
        <w:t xml:space="preserve">. These plans created good momentum for community engagement, and identified community needs and plans in agriculture, water, and coastal issues, but without integrating climate risks, and providing funds for </w:t>
      </w:r>
      <w:r w:rsidRPr="0001061D">
        <w:rPr>
          <w:sz w:val="22"/>
          <w:szCs w:val="22"/>
        </w:rPr>
        <w:lastRenderedPageBreak/>
        <w:t>actual implementation. UNDP is also in the process of implementing an Adaptation Fund Board supported project in the country. This planned project will build on experiences of past projects and will build on on-going projects.</w:t>
      </w:r>
    </w:p>
    <w:p w:rsidR="00406552" w:rsidRPr="0001061D" w:rsidRDefault="00406552" w:rsidP="00606431">
      <w:pPr>
        <w:jc w:val="both"/>
        <w:rPr>
          <w:sz w:val="22"/>
          <w:szCs w:val="22"/>
        </w:rPr>
      </w:pPr>
    </w:p>
    <w:p w:rsidR="0063262C" w:rsidRDefault="00406552" w:rsidP="00606431">
      <w:pPr>
        <w:jc w:val="both"/>
        <w:rPr>
          <w:sz w:val="22"/>
          <w:szCs w:val="22"/>
        </w:rPr>
      </w:pPr>
      <w:r w:rsidRPr="0001061D">
        <w:rPr>
          <w:sz w:val="22"/>
          <w:szCs w:val="22"/>
        </w:rPr>
        <w:t xml:space="preserve">The United Nations Development Assistance Framework (UNDAF) for the Pacific Sub-region for 2008-2012, which also covers the Cook Islands, has noted under Outcome 4 that the UN will assist Pacific nations in “The mainstreaming of environmental sustainability and sustainable energy into regional and national policies, planning frameworks and programmes; and Pacific communities sustainably using their environment, natural resources and cultural heritage.” Therefore, this proposed project will directly support this Outcome.  Under this Framework, UNDP’s Country Program Document (CPD) for the Cook Islands (2008-2012) has identified sustainable environment management as one of the key areas for cooperation.  The CPAP has stressed that UNDP will assist the Cook Islands achieve MDG 7 by providing coordinated and gender sensitive policy and technical advice to address serious environmental challenges; supporting community based environment management and disaster risk reduction – including village and local level plans development and capacity development. UNDP has been supporting numerous </w:t>
      </w:r>
      <w:r w:rsidR="000B5EE2">
        <w:rPr>
          <w:sz w:val="22"/>
          <w:szCs w:val="22"/>
        </w:rPr>
        <w:t xml:space="preserve">ABS </w:t>
      </w:r>
      <w:r w:rsidRPr="0001061D">
        <w:rPr>
          <w:sz w:val="22"/>
          <w:szCs w:val="22"/>
        </w:rPr>
        <w:t>projects in Asia and the Pacific, in partnership with the GEF.</w:t>
      </w:r>
      <w:bookmarkEnd w:id="7"/>
    </w:p>
    <w:p w:rsidR="00706FFE" w:rsidRDefault="00706FFE" w:rsidP="00606431">
      <w:pPr>
        <w:jc w:val="both"/>
        <w:rPr>
          <w:b/>
          <w:caps/>
          <w:sz w:val="22"/>
          <w:szCs w:val="22"/>
          <w:u w:val="single"/>
        </w:rPr>
      </w:pPr>
    </w:p>
    <w:p w:rsidR="00934AAD" w:rsidRPr="0001061D" w:rsidRDefault="00934AAD" w:rsidP="00606431">
      <w:pPr>
        <w:jc w:val="both"/>
        <w:rPr>
          <w:b/>
          <w:caps/>
          <w:sz w:val="22"/>
          <w:szCs w:val="22"/>
          <w:u w:val="single"/>
        </w:rPr>
      </w:pPr>
      <w:r w:rsidRPr="0001061D">
        <w:rPr>
          <w:b/>
          <w:caps/>
          <w:sz w:val="22"/>
          <w:szCs w:val="22"/>
          <w:u w:val="single"/>
        </w:rPr>
        <w:t xml:space="preserve">part iii:  approval/endorsement by gef operational focal point(s) and GEF </w:t>
      </w:r>
      <w:proofErr w:type="gramStart"/>
      <w:r w:rsidRPr="0001061D">
        <w:rPr>
          <w:b/>
          <w:caps/>
          <w:sz w:val="22"/>
          <w:szCs w:val="22"/>
          <w:u w:val="single"/>
        </w:rPr>
        <w:t>agency(</w:t>
      </w:r>
      <w:proofErr w:type="gramEnd"/>
      <w:r w:rsidRPr="0001061D">
        <w:rPr>
          <w:b/>
          <w:caps/>
          <w:sz w:val="22"/>
          <w:szCs w:val="22"/>
          <w:u w:val="single"/>
        </w:rPr>
        <w:t>ies)</w:t>
      </w:r>
    </w:p>
    <w:p w:rsidR="00934AAD" w:rsidRPr="0001061D" w:rsidRDefault="00934AAD" w:rsidP="00606431">
      <w:pPr>
        <w:spacing w:before="240" w:after="240"/>
        <w:jc w:val="both"/>
        <w:rPr>
          <w:sz w:val="22"/>
          <w:szCs w:val="22"/>
        </w:rPr>
      </w:pPr>
      <w:r w:rsidRPr="0001061D">
        <w:rPr>
          <w:b/>
          <w:bCs/>
          <w:smallCaps/>
          <w:sz w:val="22"/>
          <w:szCs w:val="22"/>
        </w:rPr>
        <w:t>A.   Record of Endorsement of GEF Operational Focal Point (S) on Behalf of the Government(S):</w:t>
      </w:r>
      <w:r w:rsidRPr="0001061D">
        <w:rPr>
          <w:sz w:val="22"/>
          <w:szCs w:val="22"/>
        </w:rPr>
        <w:t xml:space="preserve"> (Please attach the Operational Focal Point endorsement letter(s) with this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236"/>
        <w:gridCol w:w="3869"/>
        <w:gridCol w:w="2401"/>
      </w:tblGrid>
      <w:tr w:rsidR="00BA5CBE" w:rsidRPr="00706FFE" w:rsidTr="00606431">
        <w:tc>
          <w:tcPr>
            <w:tcW w:w="1139" w:type="pct"/>
          </w:tcPr>
          <w:p w:rsidR="00934AAD" w:rsidRPr="00706FFE" w:rsidRDefault="00CD7D59" w:rsidP="00AD0C9A">
            <w:pPr>
              <w:jc w:val="both"/>
              <w:rPr>
                <w:b/>
                <w:bCs/>
                <w:smallCaps/>
                <w:sz w:val="20"/>
                <w:szCs w:val="20"/>
              </w:rPr>
            </w:pPr>
            <w:r w:rsidRPr="00706FFE">
              <w:rPr>
                <w:b/>
                <w:bCs/>
                <w:smallCaps/>
                <w:sz w:val="20"/>
                <w:szCs w:val="20"/>
              </w:rPr>
              <w:t>name</w:t>
            </w:r>
          </w:p>
        </w:tc>
        <w:tc>
          <w:tcPr>
            <w:tcW w:w="1015" w:type="pct"/>
          </w:tcPr>
          <w:p w:rsidR="00934AAD" w:rsidRPr="00706FFE" w:rsidRDefault="00934AAD" w:rsidP="00AD0C9A">
            <w:pPr>
              <w:ind w:left="-540"/>
              <w:jc w:val="both"/>
              <w:rPr>
                <w:b/>
                <w:bCs/>
                <w:smallCaps/>
                <w:sz w:val="20"/>
                <w:szCs w:val="20"/>
              </w:rPr>
            </w:pPr>
            <w:r w:rsidRPr="00706FFE">
              <w:rPr>
                <w:b/>
                <w:bCs/>
                <w:smallCaps/>
                <w:sz w:val="20"/>
                <w:szCs w:val="20"/>
              </w:rPr>
              <w:t>Pos</w:t>
            </w:r>
            <w:r w:rsidR="00CD7D59" w:rsidRPr="00706FFE">
              <w:rPr>
                <w:b/>
                <w:bCs/>
                <w:smallCaps/>
                <w:sz w:val="20"/>
                <w:szCs w:val="20"/>
              </w:rPr>
              <w:t xml:space="preserve">   position</w:t>
            </w:r>
          </w:p>
        </w:tc>
        <w:tc>
          <w:tcPr>
            <w:tcW w:w="1756" w:type="pct"/>
          </w:tcPr>
          <w:p w:rsidR="00934AAD" w:rsidRPr="00706FFE" w:rsidRDefault="00934AAD" w:rsidP="00AD0C9A">
            <w:pPr>
              <w:ind w:left="-540"/>
              <w:jc w:val="both"/>
              <w:rPr>
                <w:b/>
                <w:bCs/>
                <w:smallCaps/>
                <w:sz w:val="20"/>
                <w:szCs w:val="20"/>
              </w:rPr>
            </w:pPr>
            <w:r w:rsidRPr="00706FFE">
              <w:rPr>
                <w:b/>
                <w:bCs/>
                <w:smallCaps/>
                <w:sz w:val="20"/>
                <w:szCs w:val="20"/>
              </w:rPr>
              <w:t>Min</w:t>
            </w:r>
            <w:r w:rsidR="00CD7D59" w:rsidRPr="00706FFE">
              <w:rPr>
                <w:b/>
                <w:bCs/>
                <w:smallCaps/>
                <w:sz w:val="20"/>
                <w:szCs w:val="20"/>
              </w:rPr>
              <w:t xml:space="preserve"> Ministry</w:t>
            </w:r>
          </w:p>
        </w:tc>
        <w:tc>
          <w:tcPr>
            <w:tcW w:w="1090" w:type="pct"/>
          </w:tcPr>
          <w:p w:rsidR="00934AAD" w:rsidRPr="002E1714" w:rsidRDefault="00CD7D59" w:rsidP="00AD0C9A">
            <w:pPr>
              <w:jc w:val="both"/>
              <w:rPr>
                <w:b/>
                <w:bCs/>
                <w:smallCaps/>
                <w:sz w:val="20"/>
                <w:szCs w:val="20"/>
              </w:rPr>
            </w:pPr>
            <w:bookmarkStart w:id="8" w:name="Text31"/>
            <w:r w:rsidRPr="002E1714">
              <w:rPr>
                <w:b/>
                <w:bCs/>
                <w:smallCaps/>
                <w:sz w:val="20"/>
                <w:szCs w:val="20"/>
              </w:rPr>
              <w:t>date</w:t>
            </w:r>
            <w:r w:rsidR="008F1975" w:rsidRPr="002E1714">
              <w:rPr>
                <w:i/>
                <w:iCs/>
                <w:sz w:val="20"/>
                <w:szCs w:val="20"/>
              </w:rPr>
              <w:t>(MM/DD/YYYY)</w:t>
            </w:r>
            <w:bookmarkEnd w:id="8"/>
          </w:p>
        </w:tc>
      </w:tr>
      <w:tr w:rsidR="00BA5CBE" w:rsidRPr="00706FFE" w:rsidTr="00606431">
        <w:tc>
          <w:tcPr>
            <w:tcW w:w="1139" w:type="pct"/>
          </w:tcPr>
          <w:p w:rsidR="00701799" w:rsidRPr="00706FFE" w:rsidRDefault="00701799" w:rsidP="00AD0C9A">
            <w:pPr>
              <w:jc w:val="both"/>
              <w:rPr>
                <w:sz w:val="20"/>
                <w:szCs w:val="20"/>
              </w:rPr>
            </w:pPr>
            <w:r w:rsidRPr="00706FFE">
              <w:rPr>
                <w:sz w:val="20"/>
                <w:szCs w:val="20"/>
              </w:rPr>
              <w:t xml:space="preserve">Mr. Vaitoti TUPA </w:t>
            </w:r>
          </w:p>
        </w:tc>
        <w:tc>
          <w:tcPr>
            <w:tcW w:w="1015" w:type="pct"/>
          </w:tcPr>
          <w:p w:rsidR="00701799" w:rsidRPr="00706FFE" w:rsidRDefault="001365BB" w:rsidP="00AD0C9A">
            <w:pPr>
              <w:jc w:val="both"/>
              <w:rPr>
                <w:sz w:val="20"/>
                <w:szCs w:val="20"/>
              </w:rPr>
            </w:pPr>
            <w:r w:rsidRPr="00706FFE">
              <w:rPr>
                <w:sz w:val="20"/>
                <w:szCs w:val="20"/>
              </w:rPr>
              <w:t xml:space="preserve">GEF OFP and </w:t>
            </w:r>
            <w:r w:rsidR="0007286C" w:rsidRPr="00706FFE">
              <w:rPr>
                <w:sz w:val="20"/>
                <w:szCs w:val="20"/>
              </w:rPr>
              <w:t>Director</w:t>
            </w:r>
          </w:p>
        </w:tc>
        <w:tc>
          <w:tcPr>
            <w:tcW w:w="1756" w:type="pct"/>
          </w:tcPr>
          <w:p w:rsidR="00701799" w:rsidRPr="00706FFE" w:rsidRDefault="009C1587" w:rsidP="00AD0C9A">
            <w:pPr>
              <w:jc w:val="both"/>
              <w:rPr>
                <w:sz w:val="20"/>
                <w:szCs w:val="20"/>
              </w:rPr>
            </w:pPr>
            <w:r w:rsidRPr="00706FFE">
              <w:rPr>
                <w:sz w:val="20"/>
                <w:szCs w:val="20"/>
              </w:rPr>
              <w:t xml:space="preserve">National </w:t>
            </w:r>
            <w:r w:rsidR="0007286C" w:rsidRPr="00706FFE">
              <w:rPr>
                <w:sz w:val="20"/>
                <w:szCs w:val="20"/>
              </w:rPr>
              <w:t>Environment Service</w:t>
            </w:r>
          </w:p>
        </w:tc>
        <w:tc>
          <w:tcPr>
            <w:tcW w:w="1090" w:type="pct"/>
          </w:tcPr>
          <w:p w:rsidR="00701799" w:rsidRPr="002E1714" w:rsidRDefault="002E1714" w:rsidP="00AD0C9A">
            <w:pPr>
              <w:ind w:left="-540"/>
              <w:jc w:val="both"/>
              <w:rPr>
                <w:smallCaps/>
                <w:sz w:val="20"/>
                <w:szCs w:val="20"/>
              </w:rPr>
            </w:pPr>
            <w:proofErr w:type="spellStart"/>
            <w:r w:rsidRPr="002E1714">
              <w:rPr>
                <w:smallCaps/>
                <w:sz w:val="20"/>
                <w:szCs w:val="20"/>
              </w:rPr>
              <w:t>OctrOctober</w:t>
            </w:r>
            <w:proofErr w:type="spellEnd"/>
            <w:r w:rsidRPr="002E1714">
              <w:rPr>
                <w:smallCaps/>
                <w:sz w:val="20"/>
                <w:szCs w:val="20"/>
              </w:rPr>
              <w:t xml:space="preserve"> 2013</w:t>
            </w:r>
          </w:p>
        </w:tc>
      </w:tr>
    </w:tbl>
    <w:p w:rsidR="00934AAD" w:rsidRPr="0001061D" w:rsidRDefault="00934AAD" w:rsidP="00606431">
      <w:pPr>
        <w:pStyle w:val="Footer"/>
        <w:tabs>
          <w:tab w:val="clear" w:pos="4320"/>
          <w:tab w:val="clear" w:pos="8640"/>
        </w:tabs>
        <w:spacing w:before="240" w:after="80"/>
        <w:jc w:val="both"/>
        <w:rPr>
          <w:b/>
          <w:smallCaps/>
          <w:sz w:val="22"/>
          <w:szCs w:val="22"/>
        </w:rPr>
      </w:pPr>
      <w:r w:rsidRPr="0001061D">
        <w:rPr>
          <w:b/>
          <w:smallCaps/>
          <w:sz w:val="22"/>
          <w:szCs w:val="22"/>
        </w:rPr>
        <w:t xml:space="preserve">B.  GEF </w:t>
      </w:r>
      <w:proofErr w:type="gramStart"/>
      <w:r w:rsidRPr="0001061D">
        <w:rPr>
          <w:b/>
          <w:smallCaps/>
          <w:sz w:val="22"/>
          <w:szCs w:val="22"/>
        </w:rPr>
        <w:t>Agency(</w:t>
      </w:r>
      <w:proofErr w:type="spellStart"/>
      <w:proofErr w:type="gramEnd"/>
      <w:r w:rsidRPr="0001061D">
        <w:rPr>
          <w:b/>
          <w:smallCaps/>
          <w:sz w:val="22"/>
          <w:szCs w:val="22"/>
        </w:rPr>
        <w:t>ies</w:t>
      </w:r>
      <w:proofErr w:type="spellEnd"/>
      <w:r w:rsidRPr="0001061D">
        <w:rPr>
          <w:b/>
          <w:smallCaps/>
          <w:sz w:val="22"/>
          <w:szCs w:val="22"/>
        </w:rPr>
        <w:t>) Certification</w:t>
      </w:r>
      <w:r w:rsidRPr="0001061D">
        <w:rPr>
          <w:b/>
          <w:smallCap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503"/>
        <w:gridCol w:w="989"/>
        <w:gridCol w:w="2161"/>
        <w:gridCol w:w="1716"/>
        <w:gridCol w:w="2531"/>
      </w:tblGrid>
      <w:tr w:rsidR="00BA5CBE" w:rsidRPr="00706FFE" w:rsidTr="00706FFE">
        <w:trPr>
          <w:cantSplit/>
          <w:trHeight w:val="557"/>
        </w:trPr>
        <w:tc>
          <w:tcPr>
            <w:tcW w:w="5000" w:type="pct"/>
            <w:gridSpan w:val="6"/>
          </w:tcPr>
          <w:p w:rsidR="00606431" w:rsidRPr="00706FFE" w:rsidRDefault="00606431" w:rsidP="00606431">
            <w:pPr>
              <w:spacing w:after="120"/>
              <w:jc w:val="both"/>
              <w:rPr>
                <w:b/>
                <w:sz w:val="20"/>
                <w:szCs w:val="20"/>
              </w:rPr>
            </w:pPr>
            <w:r w:rsidRPr="00706FFE">
              <w:rPr>
                <w:b/>
                <w:sz w:val="20"/>
                <w:szCs w:val="20"/>
              </w:rPr>
              <w:t>This request has been prepared in accordance with GEF/LDCF/SCCF policies and procedures and meets the GEF/LDCF/SCCF criteria for project identification and preparation.</w:t>
            </w:r>
          </w:p>
        </w:tc>
      </w:tr>
      <w:tr w:rsidR="00BA5CBE" w:rsidRPr="00706FFE" w:rsidTr="00706FFE">
        <w:tblPrEx>
          <w:tblLook w:val="01E0" w:firstRow="1" w:lastRow="1" w:firstColumn="1" w:lastColumn="1" w:noHBand="0" w:noVBand="0"/>
        </w:tblPrEx>
        <w:tc>
          <w:tcPr>
            <w:tcW w:w="960" w:type="pct"/>
            <w:vAlign w:val="center"/>
          </w:tcPr>
          <w:p w:rsidR="00934AAD" w:rsidRPr="00706FFE" w:rsidRDefault="00934AAD" w:rsidP="00706FFE">
            <w:pPr>
              <w:jc w:val="center"/>
              <w:rPr>
                <w:b/>
                <w:bCs/>
                <w:smallCaps/>
                <w:sz w:val="20"/>
                <w:szCs w:val="20"/>
              </w:rPr>
            </w:pPr>
            <w:r w:rsidRPr="00706FFE">
              <w:rPr>
                <w:b/>
                <w:bCs/>
                <w:smallCaps/>
                <w:sz w:val="20"/>
                <w:szCs w:val="20"/>
              </w:rPr>
              <w:t>Agency Coordinator, Agency name</w:t>
            </w:r>
          </w:p>
        </w:tc>
        <w:tc>
          <w:tcPr>
            <w:tcW w:w="682" w:type="pct"/>
            <w:vAlign w:val="center"/>
          </w:tcPr>
          <w:p w:rsidR="00934AAD" w:rsidRPr="00706FFE" w:rsidRDefault="00934AAD" w:rsidP="00706FFE">
            <w:pPr>
              <w:jc w:val="center"/>
              <w:rPr>
                <w:b/>
                <w:bCs/>
                <w:smallCaps/>
                <w:sz w:val="20"/>
                <w:szCs w:val="20"/>
              </w:rPr>
            </w:pPr>
            <w:r w:rsidRPr="00706FFE">
              <w:rPr>
                <w:b/>
                <w:bCs/>
                <w:smallCaps/>
                <w:sz w:val="20"/>
                <w:szCs w:val="20"/>
              </w:rPr>
              <w:t>Signature</w:t>
            </w:r>
          </w:p>
        </w:tc>
        <w:tc>
          <w:tcPr>
            <w:tcW w:w="449" w:type="pct"/>
            <w:vAlign w:val="center"/>
          </w:tcPr>
          <w:p w:rsidR="00934AAD" w:rsidRPr="00706FFE" w:rsidRDefault="00CD7D59" w:rsidP="00706FFE">
            <w:pPr>
              <w:jc w:val="center"/>
              <w:rPr>
                <w:b/>
                <w:bCs/>
                <w:smallCaps/>
                <w:sz w:val="20"/>
                <w:szCs w:val="20"/>
              </w:rPr>
            </w:pPr>
            <w:r w:rsidRPr="00706FFE">
              <w:rPr>
                <w:b/>
                <w:bCs/>
                <w:smallCaps/>
                <w:sz w:val="20"/>
                <w:szCs w:val="20"/>
              </w:rPr>
              <w:t>Date</w:t>
            </w:r>
          </w:p>
          <w:p w:rsidR="00934AAD" w:rsidRPr="00706FFE" w:rsidRDefault="008F1975" w:rsidP="00706FFE">
            <w:pPr>
              <w:jc w:val="center"/>
              <w:rPr>
                <w:b/>
                <w:bCs/>
                <w:smallCaps/>
                <w:sz w:val="20"/>
                <w:szCs w:val="20"/>
              </w:rPr>
            </w:pPr>
            <w:r w:rsidRPr="00706FFE">
              <w:rPr>
                <w:b/>
                <w:bCs/>
                <w:smallCaps/>
                <w:sz w:val="20"/>
                <w:szCs w:val="20"/>
              </w:rPr>
              <w:t>(MM/DD/YYYY)</w:t>
            </w:r>
          </w:p>
        </w:tc>
        <w:tc>
          <w:tcPr>
            <w:tcW w:w="981" w:type="pct"/>
            <w:vAlign w:val="center"/>
          </w:tcPr>
          <w:p w:rsidR="00934AAD" w:rsidRPr="00706FFE" w:rsidRDefault="00934AAD" w:rsidP="00706FFE">
            <w:pPr>
              <w:jc w:val="center"/>
              <w:rPr>
                <w:b/>
                <w:bCs/>
                <w:smallCaps/>
                <w:sz w:val="20"/>
                <w:szCs w:val="20"/>
              </w:rPr>
            </w:pPr>
            <w:r w:rsidRPr="00706FFE">
              <w:rPr>
                <w:b/>
                <w:bCs/>
                <w:smallCaps/>
                <w:sz w:val="20"/>
                <w:szCs w:val="20"/>
              </w:rPr>
              <w:t>Project Contact Person</w:t>
            </w:r>
          </w:p>
        </w:tc>
        <w:tc>
          <w:tcPr>
            <w:tcW w:w="779" w:type="pct"/>
            <w:vAlign w:val="center"/>
          </w:tcPr>
          <w:p w:rsidR="00934AAD" w:rsidRPr="00706FFE" w:rsidRDefault="00934AAD" w:rsidP="00706FFE">
            <w:pPr>
              <w:jc w:val="center"/>
              <w:rPr>
                <w:b/>
                <w:bCs/>
                <w:smallCaps/>
                <w:sz w:val="20"/>
                <w:szCs w:val="20"/>
              </w:rPr>
            </w:pPr>
            <w:r w:rsidRPr="00706FFE">
              <w:rPr>
                <w:b/>
                <w:bCs/>
                <w:smallCaps/>
                <w:sz w:val="20"/>
                <w:szCs w:val="20"/>
              </w:rPr>
              <w:t>Telephone</w:t>
            </w:r>
          </w:p>
        </w:tc>
        <w:tc>
          <w:tcPr>
            <w:tcW w:w="1149" w:type="pct"/>
            <w:vAlign w:val="center"/>
          </w:tcPr>
          <w:p w:rsidR="00934AAD" w:rsidRPr="00706FFE" w:rsidRDefault="00934AAD" w:rsidP="00706FFE">
            <w:pPr>
              <w:ind w:left="720"/>
              <w:jc w:val="center"/>
              <w:rPr>
                <w:b/>
                <w:bCs/>
                <w:smallCaps/>
                <w:sz w:val="20"/>
                <w:szCs w:val="20"/>
              </w:rPr>
            </w:pPr>
            <w:r w:rsidRPr="00706FFE">
              <w:rPr>
                <w:b/>
                <w:bCs/>
                <w:smallCaps/>
                <w:sz w:val="20"/>
                <w:szCs w:val="20"/>
              </w:rPr>
              <w:t>Email Address</w:t>
            </w:r>
          </w:p>
        </w:tc>
      </w:tr>
      <w:tr w:rsidR="00BA2FB4" w:rsidRPr="00706FFE" w:rsidTr="00706FFE">
        <w:tblPrEx>
          <w:tblLook w:val="01E0" w:firstRow="1" w:lastRow="1" w:firstColumn="1" w:lastColumn="1" w:noHBand="0" w:noVBand="0"/>
        </w:tblPrEx>
        <w:tc>
          <w:tcPr>
            <w:tcW w:w="960" w:type="pct"/>
          </w:tcPr>
          <w:p w:rsidR="00BA2FB4" w:rsidRPr="00F12A0E" w:rsidRDefault="00BA2FB4" w:rsidP="00706FFE">
            <w:pPr>
              <w:rPr>
                <w:sz w:val="20"/>
                <w:szCs w:val="20"/>
              </w:rPr>
            </w:pPr>
            <w:bookmarkStart w:id="9" w:name="coordinatorName_01"/>
            <w:bookmarkEnd w:id="9"/>
            <w:r w:rsidRPr="00F12A0E">
              <w:rPr>
                <w:sz w:val="20"/>
                <w:szCs w:val="20"/>
              </w:rPr>
              <w:t>Adrian Dinu, Officer-in-Charge and Deputy Executive Coordinator, UNDP - GEF</w:t>
            </w:r>
          </w:p>
        </w:tc>
        <w:tc>
          <w:tcPr>
            <w:tcW w:w="682" w:type="pct"/>
          </w:tcPr>
          <w:p w:rsidR="002E1714" w:rsidRPr="00FE7282" w:rsidRDefault="002E1714" w:rsidP="002E1714">
            <w:r>
              <w:rPr>
                <w:noProof/>
                <w:lang w:val="en-US"/>
              </w:rPr>
              <w:drawing>
                <wp:anchor distT="0" distB="0" distL="114300" distR="114300" simplePos="0" relativeHeight="251659776" behindDoc="0" locked="0" layoutInCell="1" allowOverlap="1">
                  <wp:simplePos x="0" y="0"/>
                  <wp:positionH relativeFrom="column">
                    <wp:posOffset>-43815</wp:posOffset>
                  </wp:positionH>
                  <wp:positionV relativeFrom="paragraph">
                    <wp:posOffset>139065</wp:posOffset>
                  </wp:positionV>
                  <wp:extent cx="793115" cy="349885"/>
                  <wp:effectExtent l="0" t="0" r="6985" b="0"/>
                  <wp:wrapNone/>
                  <wp:docPr id="1" name="Picture 1"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11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714" w:rsidRDefault="002E1714" w:rsidP="002E1714"/>
          <w:p w:rsidR="00BA2FB4" w:rsidRPr="00F12A0E" w:rsidRDefault="00BA2FB4" w:rsidP="00706FFE">
            <w:pPr>
              <w:rPr>
                <w:sz w:val="20"/>
                <w:szCs w:val="20"/>
              </w:rPr>
            </w:pPr>
          </w:p>
        </w:tc>
        <w:tc>
          <w:tcPr>
            <w:tcW w:w="449" w:type="pct"/>
          </w:tcPr>
          <w:p w:rsidR="00BA2FB4" w:rsidRPr="00F12A0E" w:rsidRDefault="002E1714" w:rsidP="002E1714">
            <w:pPr>
              <w:rPr>
                <w:sz w:val="20"/>
                <w:szCs w:val="20"/>
              </w:rPr>
            </w:pPr>
            <w:r>
              <w:rPr>
                <w:sz w:val="20"/>
                <w:szCs w:val="20"/>
              </w:rPr>
              <w:t>October 9, 2013</w:t>
            </w:r>
          </w:p>
        </w:tc>
        <w:tc>
          <w:tcPr>
            <w:tcW w:w="981" w:type="pct"/>
          </w:tcPr>
          <w:p w:rsidR="00BA2FB4" w:rsidRPr="00F12A0E" w:rsidRDefault="00706FFE" w:rsidP="00706FFE">
            <w:pPr>
              <w:rPr>
                <w:sz w:val="20"/>
                <w:szCs w:val="20"/>
              </w:rPr>
            </w:pPr>
            <w:r w:rsidRPr="00F12A0E">
              <w:rPr>
                <w:sz w:val="20"/>
                <w:szCs w:val="20"/>
              </w:rPr>
              <w:t>Johan Robinson, Regional technical Advisor for Biodiversity, UNDP</w:t>
            </w:r>
          </w:p>
        </w:tc>
        <w:tc>
          <w:tcPr>
            <w:tcW w:w="779" w:type="pct"/>
          </w:tcPr>
          <w:p w:rsidR="00BA2FB4" w:rsidRPr="00F12A0E" w:rsidRDefault="00BA2FB4" w:rsidP="00706FFE">
            <w:pPr>
              <w:rPr>
                <w:sz w:val="20"/>
                <w:szCs w:val="20"/>
              </w:rPr>
            </w:pPr>
            <w:r w:rsidRPr="00F12A0E">
              <w:rPr>
                <w:sz w:val="20"/>
                <w:szCs w:val="20"/>
              </w:rPr>
              <w:t>+662 304 9100 Ext. 2729</w:t>
            </w:r>
          </w:p>
        </w:tc>
        <w:tc>
          <w:tcPr>
            <w:tcW w:w="1149" w:type="pct"/>
          </w:tcPr>
          <w:p w:rsidR="00BA2FB4" w:rsidRPr="00F12A0E" w:rsidRDefault="00706FFE" w:rsidP="00706FFE">
            <w:pPr>
              <w:rPr>
                <w:sz w:val="20"/>
                <w:szCs w:val="20"/>
              </w:rPr>
            </w:pPr>
            <w:r w:rsidRPr="00F12A0E">
              <w:rPr>
                <w:sz w:val="20"/>
                <w:szCs w:val="20"/>
              </w:rPr>
              <w:t>johan.robinson</w:t>
            </w:r>
            <w:r w:rsidR="00BA2FB4" w:rsidRPr="00F12A0E">
              <w:rPr>
                <w:sz w:val="20"/>
                <w:szCs w:val="20"/>
              </w:rPr>
              <w:t>@undp.org</w:t>
            </w:r>
          </w:p>
        </w:tc>
      </w:tr>
    </w:tbl>
    <w:p w:rsidR="00596A73" w:rsidRPr="0001061D" w:rsidRDefault="00596A73" w:rsidP="00606431">
      <w:pPr>
        <w:jc w:val="both"/>
        <w:rPr>
          <w:vanish/>
          <w:sz w:val="22"/>
          <w:szCs w:val="22"/>
        </w:rPr>
      </w:pPr>
    </w:p>
    <w:sectPr w:rsidR="00596A73" w:rsidRPr="0001061D" w:rsidSect="0077400A">
      <w:footerReference w:type="even" r:id="rId11"/>
      <w:footerReference w:type="default" r:id="rId12"/>
      <w:pgSz w:w="12240" w:h="15840" w:code="1"/>
      <w:pgMar w:top="864" w:right="720" w:bottom="864"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9" w:rsidRDefault="00140849">
      <w:r>
        <w:separator/>
      </w:r>
    </w:p>
  </w:endnote>
  <w:endnote w:type="continuationSeparator" w:id="0">
    <w:p w:rsidR="00140849" w:rsidRDefault="0014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5A" w:rsidRDefault="001F72DC" w:rsidP="0099128C">
    <w:pPr>
      <w:pStyle w:val="Footer"/>
      <w:framePr w:wrap="around" w:vAnchor="text" w:hAnchor="margin" w:xAlign="right" w:y="1"/>
      <w:rPr>
        <w:rStyle w:val="PageNumber"/>
      </w:rPr>
    </w:pPr>
    <w:r>
      <w:rPr>
        <w:rStyle w:val="PageNumber"/>
      </w:rPr>
      <w:fldChar w:fldCharType="begin"/>
    </w:r>
    <w:r w:rsidR="00310B5A">
      <w:rPr>
        <w:rStyle w:val="PageNumber"/>
      </w:rPr>
      <w:instrText xml:space="preserve">PAGE  </w:instrText>
    </w:r>
    <w:r>
      <w:rPr>
        <w:rStyle w:val="PageNumber"/>
      </w:rPr>
      <w:fldChar w:fldCharType="end"/>
    </w:r>
  </w:p>
  <w:p w:rsidR="00310B5A" w:rsidRDefault="00310B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5A" w:rsidRDefault="001F72DC" w:rsidP="0099128C">
    <w:pPr>
      <w:pStyle w:val="Footer"/>
      <w:framePr w:wrap="around" w:vAnchor="text" w:hAnchor="margin" w:xAlign="right" w:y="1"/>
      <w:rPr>
        <w:rStyle w:val="PageNumber"/>
      </w:rPr>
    </w:pPr>
    <w:r>
      <w:rPr>
        <w:rStyle w:val="PageNumber"/>
        <w:sz w:val="20"/>
      </w:rPr>
      <w:fldChar w:fldCharType="begin"/>
    </w:r>
    <w:r w:rsidR="00310B5A">
      <w:rPr>
        <w:rStyle w:val="PageNumber"/>
        <w:sz w:val="20"/>
      </w:rPr>
      <w:instrText xml:space="preserve">PAGE  </w:instrText>
    </w:r>
    <w:r>
      <w:rPr>
        <w:rStyle w:val="PageNumber"/>
        <w:sz w:val="20"/>
      </w:rPr>
      <w:fldChar w:fldCharType="separate"/>
    </w:r>
    <w:r w:rsidR="002E1714">
      <w:rPr>
        <w:rStyle w:val="PageNumber"/>
        <w:noProof/>
        <w:sz w:val="20"/>
      </w:rPr>
      <w:t>1</w:t>
    </w:r>
    <w:r>
      <w:rPr>
        <w:rStyle w:val="PageNumber"/>
        <w:sz w:val="20"/>
      </w:rPr>
      <w:fldChar w:fldCharType="end"/>
    </w:r>
  </w:p>
  <w:p w:rsidR="00310B5A" w:rsidRPr="00074209" w:rsidRDefault="00310B5A" w:rsidP="00685DC1">
    <w:pPr>
      <w:pStyle w:val="Footer"/>
      <w:jc w:val="center"/>
      <w:rPr>
        <w:i/>
        <w:sz w:val="22"/>
        <w:szCs w:val="22"/>
      </w:rPr>
    </w:pPr>
    <w:r w:rsidRPr="00074209">
      <w:rPr>
        <w:i/>
        <w:sz w:val="22"/>
        <w:szCs w:val="22"/>
      </w:rPr>
      <w:t>PIMS 5317 Cook Islands ABS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9" w:rsidRDefault="00140849">
      <w:r>
        <w:separator/>
      </w:r>
    </w:p>
  </w:footnote>
  <w:footnote w:type="continuationSeparator" w:id="0">
    <w:p w:rsidR="00140849" w:rsidRDefault="00140849">
      <w:r>
        <w:continuationSeparator/>
      </w:r>
    </w:p>
  </w:footnote>
  <w:footnote w:id="1">
    <w:p w:rsidR="00432041" w:rsidRPr="00432041" w:rsidRDefault="00432041">
      <w:pPr>
        <w:pStyle w:val="FootnoteText"/>
        <w:rPr>
          <w:sz w:val="18"/>
          <w:szCs w:val="18"/>
          <w:lang w:val="en-US"/>
        </w:rPr>
      </w:pPr>
      <w:r w:rsidRPr="00EF009B">
        <w:rPr>
          <w:rStyle w:val="FootnoteReference"/>
          <w:sz w:val="18"/>
          <w:szCs w:val="18"/>
        </w:rPr>
        <w:footnoteRef/>
      </w:r>
      <w:r w:rsidRPr="00EF009B">
        <w:rPr>
          <w:sz w:val="18"/>
          <w:szCs w:val="18"/>
        </w:rPr>
        <w:t xml:space="preserve"> </w:t>
      </w:r>
      <w:r w:rsidRPr="00EF009B">
        <w:rPr>
          <w:sz w:val="18"/>
          <w:szCs w:val="18"/>
          <w:lang w:val="en-US"/>
        </w:rPr>
        <w:t>Any additional agreements that might be developed prior to the implementation of this project will also be reviewed.</w:t>
      </w:r>
    </w:p>
  </w:footnote>
  <w:footnote w:id="2">
    <w:p w:rsidR="000E3876" w:rsidRPr="000E3876" w:rsidRDefault="000E3876">
      <w:pPr>
        <w:pStyle w:val="FootnoteText"/>
        <w:rPr>
          <w:lang w:val="en-US"/>
        </w:rPr>
      </w:pPr>
      <w:r w:rsidRPr="00910548">
        <w:rPr>
          <w:rStyle w:val="FootnoteReference"/>
        </w:rPr>
        <w:footnoteRef/>
      </w:r>
      <w:r w:rsidRPr="00910548">
        <w:t xml:space="preserve"> </w:t>
      </w:r>
      <w:proofErr w:type="gramStart"/>
      <w:r w:rsidRPr="00910548">
        <w:rPr>
          <w:lang w:val="en-US"/>
        </w:rPr>
        <w:t>Area to be determined during PPG</w:t>
      </w:r>
      <w:r w:rsidR="001672DE" w:rsidRPr="00910548">
        <w:rPr>
          <w:lang w:val="en-US"/>
        </w:rPr>
        <w:t>.</w:t>
      </w:r>
      <w:proofErr w:type="gramEnd"/>
      <w:r w:rsidR="001672DE" w:rsidRPr="00910548">
        <w:rPr>
          <w:lang w:val="en-US"/>
        </w:rPr>
        <w:t xml:space="preserve"> Habitat refers not only </w:t>
      </w:r>
      <w:r w:rsidR="004A1CB3" w:rsidRPr="00910548">
        <w:rPr>
          <w:lang w:val="en-US"/>
        </w:rPr>
        <w:t xml:space="preserve">to </w:t>
      </w:r>
      <w:r w:rsidR="001672DE" w:rsidRPr="00910548">
        <w:rPr>
          <w:lang w:val="en-US"/>
        </w:rPr>
        <w:t xml:space="preserve">the geographical occurrence of the species, but also to </w:t>
      </w:r>
      <w:r w:rsidR="004A1CB3" w:rsidRPr="00910548">
        <w:rPr>
          <w:lang w:val="en-US"/>
        </w:rPr>
        <w:t>the areas that provide</w:t>
      </w:r>
      <w:r w:rsidR="001672DE" w:rsidRPr="00910548">
        <w:rPr>
          <w:lang w:val="en-US"/>
        </w:rPr>
        <w:t xml:space="preserve"> vital ecosystem services e.g. water provision from</w:t>
      </w:r>
      <w:r w:rsidR="004A1CB3" w:rsidRPr="00910548">
        <w:rPr>
          <w:lang w:val="en-US"/>
        </w:rPr>
        <w:t xml:space="preserve"> upstream catchments (as specie</w:t>
      </w:r>
      <w:r w:rsidR="001672DE" w:rsidRPr="00910548">
        <w:rPr>
          <w:lang w:val="en-US"/>
        </w:rPr>
        <w:t xml:space="preserve"> mostly grow</w:t>
      </w:r>
      <w:r w:rsidR="00910548">
        <w:rPr>
          <w:lang w:val="en-US"/>
        </w:rPr>
        <w:t>s</w:t>
      </w:r>
      <w:r w:rsidR="001672DE" w:rsidRPr="00910548">
        <w:rPr>
          <w:lang w:val="en-US"/>
        </w:rPr>
        <w:t xml:space="preserve"> on river banks)</w:t>
      </w:r>
      <w:r w:rsidR="004A1CB3" w:rsidRPr="00910548">
        <w:rPr>
          <w:lang w:val="en-US"/>
        </w:rPr>
        <w:t>.</w:t>
      </w:r>
    </w:p>
  </w:footnote>
  <w:footnote w:id="3">
    <w:p w:rsidR="00310B5A" w:rsidRDefault="00310B5A">
      <w:pPr>
        <w:pStyle w:val="FootnoteText"/>
      </w:pPr>
      <w:r>
        <w:rPr>
          <w:rStyle w:val="FootnoteReference"/>
        </w:rPr>
        <w:footnoteRef/>
      </w:r>
      <w:r>
        <w:t xml:space="preserve"> On an exceptional basis, PPG amount may differ upon detailed discussion and justification with the GEFSEC.</w:t>
      </w:r>
    </w:p>
  </w:footnote>
  <w:footnote w:id="4">
    <w:p w:rsidR="00310B5A" w:rsidRDefault="00310B5A">
      <w:pPr>
        <w:pStyle w:val="FootnoteText"/>
      </w:pPr>
      <w:r>
        <w:rPr>
          <w:rStyle w:val="FootnoteReference"/>
        </w:rPr>
        <w:footnoteRef/>
      </w:r>
      <w:r>
        <w:t xml:space="preserve"> PPG fee percentage follows the percentage of the GEF Project Grant amount requested.</w:t>
      </w:r>
    </w:p>
  </w:footnote>
  <w:footnote w:id="5">
    <w:p w:rsidR="00310B5A" w:rsidRDefault="00310B5A" w:rsidP="000C724F">
      <w:pPr>
        <w:pStyle w:val="FootnoteText"/>
      </w:pPr>
      <w:r>
        <w:rPr>
          <w:rStyle w:val="FootnoteReference"/>
        </w:rPr>
        <w:footnoteRef/>
      </w:r>
      <w:r>
        <w:t xml:space="preserve"> </w:t>
      </w:r>
      <w:hyperlink r:id="rId1" w:history="1">
        <w:r w:rsidRPr="00EB75FF">
          <w:rPr>
            <w:rStyle w:val="Hyperlink"/>
          </w:rPr>
          <w:t>http://worldwildlife.org/ecoregions/oc0103</w:t>
        </w:r>
      </w:hyperlink>
      <w:r>
        <w:t xml:space="preserve"> </w:t>
      </w:r>
    </w:p>
  </w:footnote>
  <w:footnote w:id="6">
    <w:p w:rsidR="00310B5A" w:rsidRDefault="00310B5A" w:rsidP="000C724F">
      <w:pPr>
        <w:pStyle w:val="FootnoteText"/>
      </w:pPr>
      <w:r>
        <w:rPr>
          <w:rStyle w:val="FootnoteReference"/>
        </w:rPr>
        <w:footnoteRef/>
      </w:r>
      <w:r>
        <w:t xml:space="preserve"> </w:t>
      </w:r>
      <w:hyperlink r:id="rId2" w:history="1">
        <w:r w:rsidRPr="00EB75FF">
          <w:rPr>
            <w:rStyle w:val="Hyperlink"/>
          </w:rPr>
          <w:t>http://www.conservation.org/where/priority_areas/hotspots/asia-pacific/Polynesia-Micronesia/Pages/default.aspx</w:t>
        </w:r>
      </w:hyperlink>
      <w:r>
        <w:t xml:space="preserve"> </w:t>
      </w:r>
    </w:p>
  </w:footnote>
  <w:footnote w:id="7">
    <w:p w:rsidR="00310B5A" w:rsidRDefault="00310B5A" w:rsidP="000C724F">
      <w:pPr>
        <w:pStyle w:val="FootnoteText"/>
      </w:pPr>
      <w:r>
        <w:rPr>
          <w:rStyle w:val="FootnoteReference"/>
        </w:rPr>
        <w:footnoteRef/>
      </w:r>
      <w:r>
        <w:t xml:space="preserve"> </w:t>
      </w:r>
      <w:hyperlink r:id="rId3" w:history="1">
        <w:r w:rsidRPr="00EB75FF">
          <w:rPr>
            <w:rStyle w:val="Hyperlink"/>
          </w:rPr>
          <w:t>http://www.birdlife.org/datazone/country/cook-islands</w:t>
        </w:r>
      </w:hyperlink>
      <w:r>
        <w:t xml:space="preserve"> </w:t>
      </w:r>
    </w:p>
  </w:footnote>
  <w:footnote w:id="8">
    <w:p w:rsidR="00310B5A" w:rsidRDefault="00310B5A" w:rsidP="001568DB">
      <w:pPr>
        <w:pStyle w:val="FootnoteText"/>
      </w:pPr>
      <w:r>
        <w:rPr>
          <w:rStyle w:val="FootnoteReference"/>
        </w:rPr>
        <w:footnoteRef/>
      </w:r>
      <w:r>
        <w:t xml:space="preserve"> </w:t>
      </w:r>
      <w:r w:rsidRPr="00514FB4">
        <w:t>http://www.stats.gov.ck/Statistics/CensusSurveys/censurvnav.htm</w:t>
      </w:r>
    </w:p>
  </w:footnote>
  <w:footnote w:id="9">
    <w:p w:rsidR="00310B5A" w:rsidRPr="008961F8" w:rsidRDefault="00310B5A">
      <w:pPr>
        <w:pStyle w:val="FootnoteText"/>
        <w:rPr>
          <w:sz w:val="18"/>
          <w:szCs w:val="18"/>
          <w:lang w:val="en-US"/>
        </w:rPr>
      </w:pPr>
      <w:r w:rsidRPr="008961F8">
        <w:rPr>
          <w:rStyle w:val="FootnoteReference"/>
          <w:sz w:val="18"/>
          <w:szCs w:val="18"/>
        </w:rPr>
        <w:footnoteRef/>
      </w:r>
      <w:r w:rsidRPr="008961F8">
        <w:rPr>
          <w:sz w:val="18"/>
          <w:szCs w:val="18"/>
        </w:rPr>
        <w:t xml:space="preserve"> </w:t>
      </w:r>
      <w:hyperlink r:id="rId4" w:history="1">
        <w:r w:rsidRPr="008961F8">
          <w:rPr>
            <w:rStyle w:val="Hyperlink"/>
            <w:sz w:val="18"/>
            <w:szCs w:val="18"/>
            <w:lang w:val="en-US"/>
          </w:rPr>
          <w:t>www.issg.org/database</w:t>
        </w:r>
      </w:hyperlink>
      <w:r w:rsidRPr="008961F8">
        <w:rPr>
          <w:sz w:val="18"/>
          <w:szCs w:val="18"/>
          <w:lang w:val="en-US"/>
        </w:rPr>
        <w:t xml:space="preserve"> </w:t>
      </w:r>
    </w:p>
  </w:footnote>
  <w:footnote w:id="10">
    <w:p w:rsidR="00310B5A" w:rsidRPr="00E168C5" w:rsidRDefault="00310B5A">
      <w:pPr>
        <w:pStyle w:val="FootnoteText"/>
        <w:rPr>
          <w:lang w:val="en-US"/>
        </w:rPr>
      </w:pPr>
      <w:r>
        <w:rPr>
          <w:rStyle w:val="FootnoteReference"/>
        </w:rPr>
        <w:footnoteRef/>
      </w:r>
      <w:r>
        <w:t xml:space="preserve"> </w:t>
      </w:r>
      <w:proofErr w:type="spellStart"/>
      <w:r>
        <w:rPr>
          <w:lang w:val="en-US"/>
        </w:rPr>
        <w:t>Sissons</w:t>
      </w:r>
      <w:proofErr w:type="spellEnd"/>
      <w:r>
        <w:rPr>
          <w:lang w:val="en-US"/>
        </w:rPr>
        <w:t xml:space="preserve">, J. 1994. </w:t>
      </w:r>
      <w:r w:rsidRPr="005C37C5">
        <w:rPr>
          <w:i/>
          <w:lang w:val="en-US"/>
        </w:rPr>
        <w:t>Royal Backbone and Body Politic: Aristocratic Titles and Cook Islands Nationalism since Self-Government.</w:t>
      </w:r>
      <w:r>
        <w:rPr>
          <w:lang w:val="en-US"/>
        </w:rPr>
        <w:t xml:space="preserve"> </w:t>
      </w:r>
      <w:proofErr w:type="gramStart"/>
      <w:r>
        <w:rPr>
          <w:lang w:val="en-US"/>
        </w:rPr>
        <w:t>The Contemporary Pacific.</w:t>
      </w:r>
      <w:proofErr w:type="gramEnd"/>
      <w:r>
        <w:rPr>
          <w:lang w:val="en-US"/>
        </w:rPr>
        <w:t xml:space="preserve"> </w:t>
      </w:r>
    </w:p>
  </w:footnote>
  <w:footnote w:id="11">
    <w:p w:rsidR="00310B5A" w:rsidRPr="00481D29" w:rsidRDefault="00310B5A">
      <w:pPr>
        <w:pStyle w:val="FootnoteText"/>
        <w:rPr>
          <w:lang w:val="en-US"/>
        </w:rPr>
      </w:pPr>
      <w:r>
        <w:rPr>
          <w:rStyle w:val="FootnoteReference"/>
        </w:rPr>
        <w:footnoteRef/>
      </w:r>
      <w:r>
        <w:t xml:space="preserve"> </w:t>
      </w:r>
      <w:hyperlink r:id="rId5" w:history="1">
        <w:r w:rsidRPr="00056AAD">
          <w:rPr>
            <w:rStyle w:val="Hyperlink"/>
            <w:lang w:val="en-US"/>
          </w:rPr>
          <w:t>http://www.environment.gov.ck/index.php?option=com_content&amp;view=article&amp;id=62&amp;Itemid=29</w:t>
        </w:r>
      </w:hyperlink>
      <w:r>
        <w:rPr>
          <w:lang w:val="en-US"/>
        </w:rPr>
        <w:t xml:space="preserve"> </w:t>
      </w:r>
    </w:p>
  </w:footnote>
  <w:footnote w:id="12">
    <w:p w:rsidR="00310B5A" w:rsidRPr="000823F1" w:rsidRDefault="00310B5A" w:rsidP="00551859">
      <w:pPr>
        <w:pStyle w:val="FootnoteText"/>
        <w:rPr>
          <w:lang w:val="en-US"/>
        </w:rPr>
      </w:pPr>
      <w:r>
        <w:rPr>
          <w:rStyle w:val="FootnoteReference"/>
        </w:rPr>
        <w:footnoteRef/>
      </w:r>
      <w:r>
        <w:t xml:space="preserve"> </w:t>
      </w:r>
      <w:r>
        <w:rPr>
          <w:lang w:val="en-US"/>
        </w:rPr>
        <w:t xml:space="preserve">The Cooks Islands Maori Dictionary defines a </w:t>
      </w:r>
      <w:proofErr w:type="spellStart"/>
      <w:r>
        <w:rPr>
          <w:lang w:val="en-US"/>
        </w:rPr>
        <w:t>Ra’ui</w:t>
      </w:r>
      <w:proofErr w:type="spellEnd"/>
      <w:r>
        <w:rPr>
          <w:lang w:val="en-US"/>
        </w:rPr>
        <w:t xml:space="preserve"> as: </w:t>
      </w:r>
      <w:r w:rsidRPr="00980EA4">
        <w:rPr>
          <w:i/>
          <w:lang w:val="en-US"/>
        </w:rPr>
        <w:t xml:space="preserve">“1. A sign, </w:t>
      </w:r>
      <w:proofErr w:type="spellStart"/>
      <w:r w:rsidRPr="00980EA4">
        <w:rPr>
          <w:i/>
          <w:u w:val="single"/>
          <w:lang w:val="en-US"/>
        </w:rPr>
        <w:t>usu</w:t>
      </w:r>
      <w:proofErr w:type="spellEnd"/>
      <w:r w:rsidRPr="00980EA4">
        <w:rPr>
          <w:i/>
          <w:lang w:val="en-US"/>
        </w:rPr>
        <w:t xml:space="preserve">, leaves on a branch set in place by the owner of a piece of land or water reserving it or its produce for his own or some special use; a prohibition. 2. Erect a </w:t>
      </w:r>
      <w:proofErr w:type="spellStart"/>
      <w:r w:rsidRPr="00980EA4">
        <w:rPr>
          <w:i/>
          <w:lang w:val="en-US"/>
        </w:rPr>
        <w:t>ra’ui</w:t>
      </w:r>
      <w:proofErr w:type="spellEnd"/>
      <w:r w:rsidRPr="00980EA4">
        <w:rPr>
          <w:i/>
          <w:lang w:val="en-US"/>
        </w:rPr>
        <w:t xml:space="preserve"> restricting the picking of fruit etc.”</w:t>
      </w:r>
      <w:r>
        <w:rPr>
          <w:lang w:val="en-US"/>
        </w:rPr>
        <w:t xml:space="preserve"> </w:t>
      </w:r>
      <w:proofErr w:type="gramStart"/>
      <w:r>
        <w:rPr>
          <w:lang w:val="en-US"/>
        </w:rPr>
        <w:t>Hoffmann, T.C. 2002.</w:t>
      </w:r>
      <w:proofErr w:type="gramEnd"/>
      <w:r>
        <w:rPr>
          <w:lang w:val="en-US"/>
        </w:rPr>
        <w:t xml:space="preserve"> </w:t>
      </w:r>
      <w:r w:rsidRPr="00980EA4">
        <w:rPr>
          <w:i/>
          <w:lang w:val="en-US"/>
        </w:rPr>
        <w:t xml:space="preserve">The Reimplementation of the </w:t>
      </w:r>
      <w:proofErr w:type="spellStart"/>
      <w:r w:rsidRPr="00980EA4">
        <w:rPr>
          <w:i/>
          <w:lang w:val="en-US"/>
        </w:rPr>
        <w:t>Ra’ui</w:t>
      </w:r>
      <w:proofErr w:type="spellEnd"/>
      <w:r w:rsidRPr="00980EA4">
        <w:rPr>
          <w:i/>
          <w:lang w:val="en-US"/>
        </w:rPr>
        <w:t xml:space="preserve">: Coral Reef Management in </w:t>
      </w:r>
      <w:proofErr w:type="spellStart"/>
      <w:r w:rsidRPr="00980EA4">
        <w:rPr>
          <w:i/>
          <w:lang w:val="en-US"/>
        </w:rPr>
        <w:t>Rarotonga</w:t>
      </w:r>
      <w:proofErr w:type="spellEnd"/>
      <w:r w:rsidRPr="00980EA4">
        <w:rPr>
          <w:i/>
          <w:lang w:val="en-US"/>
        </w:rPr>
        <w:t>, Cook Islands.</w:t>
      </w:r>
      <w:r>
        <w:rPr>
          <w:lang w:val="en-US"/>
        </w:rPr>
        <w:t xml:space="preserve"> Coastal Management 30: 401 – 418.</w:t>
      </w:r>
    </w:p>
  </w:footnote>
  <w:footnote w:id="13">
    <w:p w:rsidR="00310B5A" w:rsidRPr="00B840E3" w:rsidRDefault="00310B5A" w:rsidP="00551859">
      <w:pPr>
        <w:pStyle w:val="FootnoteText"/>
        <w:rPr>
          <w:lang w:val="en-US"/>
        </w:rPr>
      </w:pPr>
      <w:r>
        <w:rPr>
          <w:rStyle w:val="FootnoteReference"/>
        </w:rPr>
        <w:footnoteRef/>
      </w:r>
      <w:r>
        <w:t xml:space="preserve"> </w:t>
      </w:r>
      <w:r>
        <w:rPr>
          <w:lang w:val="en-US"/>
        </w:rPr>
        <w:t xml:space="preserve">The </w:t>
      </w:r>
      <w:proofErr w:type="spellStart"/>
      <w:r w:rsidRPr="00B840E3">
        <w:rPr>
          <w:i/>
          <w:lang w:val="en-US"/>
        </w:rPr>
        <w:t>Koutu</w:t>
      </w:r>
      <w:proofErr w:type="spellEnd"/>
      <w:r w:rsidRPr="00B840E3">
        <w:rPr>
          <w:i/>
          <w:lang w:val="en-US"/>
        </w:rPr>
        <w:t xml:space="preserve"> Nui</w:t>
      </w:r>
      <w:r>
        <w:rPr>
          <w:lang w:val="en-US"/>
        </w:rPr>
        <w:t xml:space="preserve"> is a lawfully recognized indigenous representative body established in written law in 1972 under the amendment to the 1968 House of </w:t>
      </w:r>
      <w:proofErr w:type="spellStart"/>
      <w:r>
        <w:rPr>
          <w:lang w:val="en-US"/>
        </w:rPr>
        <w:t>Ariki</w:t>
      </w:r>
      <w:proofErr w:type="spellEnd"/>
      <w:r>
        <w:rPr>
          <w:lang w:val="en-US"/>
        </w:rPr>
        <w:t xml:space="preserve"> Act. Under Cook Islands customary law, each district has an </w:t>
      </w:r>
      <w:proofErr w:type="spellStart"/>
      <w:r w:rsidRPr="00B840E3">
        <w:rPr>
          <w:i/>
          <w:lang w:val="en-US"/>
        </w:rPr>
        <w:t>Ariki</w:t>
      </w:r>
      <w:proofErr w:type="spellEnd"/>
      <w:r w:rsidRPr="00B840E3">
        <w:rPr>
          <w:i/>
          <w:lang w:val="en-US"/>
        </w:rPr>
        <w:t xml:space="preserve"> </w:t>
      </w:r>
      <w:r>
        <w:rPr>
          <w:lang w:val="en-US"/>
        </w:rPr>
        <w:t xml:space="preserve">(paramount chief) and each </w:t>
      </w:r>
      <w:proofErr w:type="spellStart"/>
      <w:r>
        <w:rPr>
          <w:lang w:val="en-US"/>
        </w:rPr>
        <w:t>Ariki</w:t>
      </w:r>
      <w:proofErr w:type="spellEnd"/>
      <w:r>
        <w:rPr>
          <w:lang w:val="en-US"/>
        </w:rPr>
        <w:t xml:space="preserve"> has a number of </w:t>
      </w:r>
      <w:proofErr w:type="spellStart"/>
      <w:r w:rsidRPr="00B840E3">
        <w:rPr>
          <w:i/>
          <w:lang w:val="en-US"/>
        </w:rPr>
        <w:t>Koutu</w:t>
      </w:r>
      <w:proofErr w:type="spellEnd"/>
      <w:r>
        <w:rPr>
          <w:lang w:val="en-US"/>
        </w:rPr>
        <w:t xml:space="preserve"> (representatives of sub-districts) and the chiefs who were responsible for the cultural heritage of the Cook Islands. The </w:t>
      </w:r>
      <w:proofErr w:type="spellStart"/>
      <w:r w:rsidRPr="00B840E3">
        <w:rPr>
          <w:i/>
          <w:lang w:val="en-US"/>
        </w:rPr>
        <w:t>Koutu</w:t>
      </w:r>
      <w:proofErr w:type="spellEnd"/>
      <w:r w:rsidRPr="00B840E3">
        <w:rPr>
          <w:i/>
          <w:lang w:val="en-US"/>
        </w:rPr>
        <w:t xml:space="preserve"> Nui</w:t>
      </w:r>
      <w:r>
        <w:rPr>
          <w:lang w:val="en-US"/>
        </w:rPr>
        <w:t xml:space="preserve">, a formal assemblage of these chiefs, was charged with overseeing the modern lawmaking. </w:t>
      </w:r>
    </w:p>
  </w:footnote>
  <w:footnote w:id="14">
    <w:p w:rsidR="00310B5A" w:rsidRPr="00D54AEF" w:rsidRDefault="00310B5A">
      <w:pPr>
        <w:pStyle w:val="FootnoteText"/>
        <w:rPr>
          <w:sz w:val="18"/>
          <w:szCs w:val="18"/>
          <w:lang w:val="en-US"/>
        </w:rPr>
      </w:pPr>
      <w:r w:rsidRPr="00D54AEF">
        <w:rPr>
          <w:rStyle w:val="FootnoteReference"/>
          <w:sz w:val="18"/>
          <w:szCs w:val="18"/>
        </w:rPr>
        <w:footnoteRef/>
      </w:r>
      <w:r w:rsidRPr="00D54AEF">
        <w:rPr>
          <w:sz w:val="18"/>
          <w:szCs w:val="18"/>
        </w:rPr>
        <w:t xml:space="preserve"> </w:t>
      </w:r>
      <w:hyperlink r:id="rId6" w:history="1">
        <w:r w:rsidRPr="00D54AEF">
          <w:rPr>
            <w:rStyle w:val="Hyperlink"/>
            <w:sz w:val="18"/>
            <w:szCs w:val="18"/>
          </w:rPr>
          <w:t>www.cimtech.com.au</w:t>
        </w:r>
      </w:hyperlink>
    </w:p>
  </w:footnote>
  <w:footnote w:id="15">
    <w:p w:rsidR="00310B5A" w:rsidRPr="00A42FA5" w:rsidRDefault="00310B5A">
      <w:pPr>
        <w:pStyle w:val="FootnoteText"/>
        <w:rPr>
          <w:sz w:val="18"/>
          <w:szCs w:val="18"/>
          <w:lang w:val="en-US"/>
        </w:rPr>
      </w:pPr>
      <w:r w:rsidRPr="00A42FA5">
        <w:rPr>
          <w:rStyle w:val="FootnoteReference"/>
          <w:sz w:val="18"/>
          <w:szCs w:val="18"/>
        </w:rPr>
        <w:footnoteRef/>
      </w:r>
      <w:r w:rsidRPr="00A42FA5">
        <w:rPr>
          <w:sz w:val="18"/>
          <w:szCs w:val="18"/>
        </w:rPr>
        <w:t xml:space="preserve"> </w:t>
      </w:r>
      <w:hyperlink r:id="rId7" w:history="1">
        <w:r w:rsidRPr="00A42FA5">
          <w:rPr>
            <w:color w:val="0000FF"/>
            <w:sz w:val="18"/>
            <w:szCs w:val="18"/>
            <w:u w:val="single"/>
          </w:rPr>
          <w:t>http://tetika.com.au/</w:t>
        </w:r>
      </w:hyperlink>
    </w:p>
  </w:footnote>
  <w:footnote w:id="16">
    <w:p w:rsidR="00013D47" w:rsidRPr="00013D47" w:rsidRDefault="00013D47">
      <w:pPr>
        <w:pStyle w:val="FootnoteText"/>
        <w:rPr>
          <w:lang w:val="en-US"/>
        </w:rPr>
      </w:pPr>
      <w:r w:rsidRPr="00193942">
        <w:rPr>
          <w:rStyle w:val="FootnoteReference"/>
        </w:rPr>
        <w:footnoteRef/>
      </w:r>
      <w:r w:rsidRPr="00193942">
        <w:t xml:space="preserve"> </w:t>
      </w:r>
      <w:r w:rsidRPr="00193942">
        <w:rPr>
          <w:lang w:val="en-US"/>
        </w:rPr>
        <w:t>This amount is a rough estimate. Exact baseline investment amounts will be obtained during the PPG phase.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927D1"/>
    <w:multiLevelType w:val="hybridMultilevel"/>
    <w:tmpl w:val="5F9C3E6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nsid w:val="09BB0E63"/>
    <w:multiLevelType w:val="hybridMultilevel"/>
    <w:tmpl w:val="3F02B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54398"/>
    <w:multiLevelType w:val="hybridMultilevel"/>
    <w:tmpl w:val="9DB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8333BF"/>
    <w:multiLevelType w:val="hybridMultilevel"/>
    <w:tmpl w:val="B66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D306C"/>
    <w:multiLevelType w:val="hybridMultilevel"/>
    <w:tmpl w:val="A774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E340B8"/>
    <w:multiLevelType w:val="hybridMultilevel"/>
    <w:tmpl w:val="3C04F40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nsid w:val="18966B7A"/>
    <w:multiLevelType w:val="hybridMultilevel"/>
    <w:tmpl w:val="A3D22920"/>
    <w:lvl w:ilvl="0" w:tplc="21EA4F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555E8"/>
    <w:multiLevelType w:val="hybridMultilevel"/>
    <w:tmpl w:val="B7D2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D41C9"/>
    <w:multiLevelType w:val="hybridMultilevel"/>
    <w:tmpl w:val="27AC4008"/>
    <w:lvl w:ilvl="0" w:tplc="D070E2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93363E"/>
    <w:multiLevelType w:val="hybridMultilevel"/>
    <w:tmpl w:val="A6C6A6F8"/>
    <w:lvl w:ilvl="0" w:tplc="F4D63F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80BAA"/>
    <w:multiLevelType w:val="hybridMultilevel"/>
    <w:tmpl w:val="4912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2C230A"/>
    <w:multiLevelType w:val="hybridMultilevel"/>
    <w:tmpl w:val="E988AF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22B645C6"/>
    <w:multiLevelType w:val="hybridMultilevel"/>
    <w:tmpl w:val="005E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851D81"/>
    <w:multiLevelType w:val="hybridMultilevel"/>
    <w:tmpl w:val="E8DE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63107"/>
    <w:multiLevelType w:val="hybridMultilevel"/>
    <w:tmpl w:val="447A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43203"/>
    <w:multiLevelType w:val="hybridMultilevel"/>
    <w:tmpl w:val="BED2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31CF7"/>
    <w:multiLevelType w:val="hybridMultilevel"/>
    <w:tmpl w:val="D1C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C6F94"/>
    <w:multiLevelType w:val="hybridMultilevel"/>
    <w:tmpl w:val="C408DA80"/>
    <w:lvl w:ilvl="0" w:tplc="3CEEEFC0">
      <w:numFmt w:val="bullet"/>
      <w:lvlText w:val="•"/>
      <w:lvlJc w:val="left"/>
      <w:pPr>
        <w:ind w:left="-540" w:hanging="54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0">
    <w:nsid w:val="3AAF1558"/>
    <w:multiLevelType w:val="hybridMultilevel"/>
    <w:tmpl w:val="EA4C0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E6C3C"/>
    <w:multiLevelType w:val="hybridMultilevel"/>
    <w:tmpl w:val="399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A4A87"/>
    <w:multiLevelType w:val="hybridMultilevel"/>
    <w:tmpl w:val="B3289046"/>
    <w:lvl w:ilvl="0" w:tplc="3CEEEFC0">
      <w:numFmt w:val="bullet"/>
      <w:lvlText w:val="•"/>
      <w:lvlJc w:val="left"/>
      <w:pPr>
        <w:ind w:left="0" w:hanging="5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584848"/>
    <w:multiLevelType w:val="hybridMultilevel"/>
    <w:tmpl w:val="845A10EC"/>
    <w:lvl w:ilvl="0" w:tplc="3CEEEFC0">
      <w:numFmt w:val="bullet"/>
      <w:lvlText w:val="•"/>
      <w:lvlJc w:val="left"/>
      <w:pPr>
        <w:ind w:left="0" w:hanging="5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3B7997"/>
    <w:multiLevelType w:val="hybridMultilevel"/>
    <w:tmpl w:val="5A4C9F98"/>
    <w:lvl w:ilvl="0" w:tplc="F4F2ACB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CF1241"/>
    <w:multiLevelType w:val="hybridMultilevel"/>
    <w:tmpl w:val="8488C0F4"/>
    <w:lvl w:ilvl="0" w:tplc="034A85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4A1F47"/>
    <w:multiLevelType w:val="hybridMultilevel"/>
    <w:tmpl w:val="402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A39C1"/>
    <w:multiLevelType w:val="hybridMultilevel"/>
    <w:tmpl w:val="87D6B10E"/>
    <w:lvl w:ilvl="0" w:tplc="E4EAA4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91305E"/>
    <w:multiLevelType w:val="hybridMultilevel"/>
    <w:tmpl w:val="6F1868B0"/>
    <w:lvl w:ilvl="0" w:tplc="8E8E882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55441"/>
    <w:multiLevelType w:val="hybridMultilevel"/>
    <w:tmpl w:val="00ECC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9732C02"/>
    <w:multiLevelType w:val="hybridMultilevel"/>
    <w:tmpl w:val="25467004"/>
    <w:lvl w:ilvl="0" w:tplc="3CEEEFC0">
      <w:numFmt w:val="bullet"/>
      <w:lvlText w:val="•"/>
      <w:lvlJc w:val="left"/>
      <w:pPr>
        <w:ind w:left="0" w:hanging="540"/>
      </w:pPr>
      <w:rPr>
        <w:rFonts w:ascii="Times New Roman" w:eastAsia="Times New Roman" w:hAnsi="Times New Roman"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1">
    <w:nsid w:val="6A3F2F72"/>
    <w:multiLevelType w:val="hybridMultilevel"/>
    <w:tmpl w:val="BDA6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853E1"/>
    <w:multiLevelType w:val="hybridMultilevel"/>
    <w:tmpl w:val="9FDE9D1E"/>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D5B1086"/>
    <w:multiLevelType w:val="hybridMultilevel"/>
    <w:tmpl w:val="13DE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E75CE0"/>
    <w:multiLevelType w:val="hybridMultilevel"/>
    <w:tmpl w:val="9C8E8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3E02D7C"/>
    <w:multiLevelType w:val="hybridMultilevel"/>
    <w:tmpl w:val="6380909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75A7CA3"/>
    <w:multiLevelType w:val="multilevel"/>
    <w:tmpl w:val="5E0A27FA"/>
    <w:lvl w:ilvl="0">
      <w:start w:val="1"/>
      <w:numFmt w:val="decimal"/>
      <w:lvlText w:val="%1."/>
      <w:lvlJc w:val="left"/>
      <w:pPr>
        <w:ind w:left="720" w:hanging="360"/>
      </w:pPr>
      <w:rPr>
        <w:rFonts w:cs="Times New Roman" w:hint="default"/>
      </w:rPr>
    </w:lvl>
    <w:lvl w:ilvl="1">
      <w:start w:val="1"/>
      <w:numFmt w:val="decimal"/>
      <w:isLgl/>
      <w:lvlText w:val="%1.%2."/>
      <w:lvlJc w:val="left"/>
      <w:pPr>
        <w:ind w:left="880" w:hanging="5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7733CB2"/>
    <w:multiLevelType w:val="hybridMultilevel"/>
    <w:tmpl w:val="6068E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6B5C37"/>
    <w:multiLevelType w:val="hybridMultilevel"/>
    <w:tmpl w:val="C3A8BA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9FB6A09"/>
    <w:multiLevelType w:val="hybridMultilevel"/>
    <w:tmpl w:val="94005B44"/>
    <w:lvl w:ilvl="0" w:tplc="5B7E574E">
      <w:start w:val="1"/>
      <w:numFmt w:val="bullet"/>
      <w:lvlText w:val="–"/>
      <w:lvlJc w:val="left"/>
      <w:pPr>
        <w:tabs>
          <w:tab w:val="num" w:pos="360"/>
        </w:tabs>
        <w:ind w:left="360" w:hanging="360"/>
      </w:pPr>
      <w:rPr>
        <w:rFonts w:ascii="Times New Roman" w:hAnsi="Times New Roman" w:hint="default"/>
      </w:rPr>
    </w:lvl>
    <w:lvl w:ilvl="1" w:tplc="DDA45CFE">
      <w:start w:val="1"/>
      <w:numFmt w:val="bullet"/>
      <w:lvlText w:val="–"/>
      <w:lvlJc w:val="left"/>
      <w:pPr>
        <w:tabs>
          <w:tab w:val="num" w:pos="1080"/>
        </w:tabs>
        <w:ind w:left="1080" w:hanging="360"/>
      </w:pPr>
      <w:rPr>
        <w:rFonts w:ascii="Times New Roman" w:hAnsi="Times New Roman" w:hint="default"/>
      </w:rPr>
    </w:lvl>
    <w:lvl w:ilvl="2" w:tplc="EB7A401C">
      <w:start w:val="1204"/>
      <w:numFmt w:val="bullet"/>
      <w:lvlText w:val="•"/>
      <w:lvlJc w:val="left"/>
      <w:pPr>
        <w:tabs>
          <w:tab w:val="num" w:pos="1800"/>
        </w:tabs>
        <w:ind w:left="1800" w:hanging="360"/>
      </w:pPr>
      <w:rPr>
        <w:rFonts w:ascii="Times New Roman" w:hAnsi="Times New Roman" w:hint="default"/>
      </w:rPr>
    </w:lvl>
    <w:lvl w:ilvl="3" w:tplc="D5C43E96" w:tentative="1">
      <w:start w:val="1"/>
      <w:numFmt w:val="bullet"/>
      <w:lvlText w:val="–"/>
      <w:lvlJc w:val="left"/>
      <w:pPr>
        <w:tabs>
          <w:tab w:val="num" w:pos="2520"/>
        </w:tabs>
        <w:ind w:left="2520" w:hanging="360"/>
      </w:pPr>
      <w:rPr>
        <w:rFonts w:ascii="Times New Roman" w:hAnsi="Times New Roman" w:hint="default"/>
      </w:rPr>
    </w:lvl>
    <w:lvl w:ilvl="4" w:tplc="5E30AF38" w:tentative="1">
      <w:start w:val="1"/>
      <w:numFmt w:val="bullet"/>
      <w:lvlText w:val="–"/>
      <w:lvlJc w:val="left"/>
      <w:pPr>
        <w:tabs>
          <w:tab w:val="num" w:pos="3240"/>
        </w:tabs>
        <w:ind w:left="3240" w:hanging="360"/>
      </w:pPr>
      <w:rPr>
        <w:rFonts w:ascii="Times New Roman" w:hAnsi="Times New Roman" w:hint="default"/>
      </w:rPr>
    </w:lvl>
    <w:lvl w:ilvl="5" w:tplc="7AFEF68A" w:tentative="1">
      <w:start w:val="1"/>
      <w:numFmt w:val="bullet"/>
      <w:lvlText w:val="–"/>
      <w:lvlJc w:val="left"/>
      <w:pPr>
        <w:tabs>
          <w:tab w:val="num" w:pos="3960"/>
        </w:tabs>
        <w:ind w:left="3960" w:hanging="360"/>
      </w:pPr>
      <w:rPr>
        <w:rFonts w:ascii="Times New Roman" w:hAnsi="Times New Roman" w:hint="default"/>
      </w:rPr>
    </w:lvl>
    <w:lvl w:ilvl="6" w:tplc="B67425A0" w:tentative="1">
      <w:start w:val="1"/>
      <w:numFmt w:val="bullet"/>
      <w:lvlText w:val="–"/>
      <w:lvlJc w:val="left"/>
      <w:pPr>
        <w:tabs>
          <w:tab w:val="num" w:pos="4680"/>
        </w:tabs>
        <w:ind w:left="4680" w:hanging="360"/>
      </w:pPr>
      <w:rPr>
        <w:rFonts w:ascii="Times New Roman" w:hAnsi="Times New Roman" w:hint="default"/>
      </w:rPr>
    </w:lvl>
    <w:lvl w:ilvl="7" w:tplc="B0A8B310" w:tentative="1">
      <w:start w:val="1"/>
      <w:numFmt w:val="bullet"/>
      <w:lvlText w:val="–"/>
      <w:lvlJc w:val="left"/>
      <w:pPr>
        <w:tabs>
          <w:tab w:val="num" w:pos="5400"/>
        </w:tabs>
        <w:ind w:left="5400" w:hanging="360"/>
      </w:pPr>
      <w:rPr>
        <w:rFonts w:ascii="Times New Roman" w:hAnsi="Times New Roman" w:hint="default"/>
      </w:rPr>
    </w:lvl>
    <w:lvl w:ilvl="8" w:tplc="DB9C7976"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F41411A"/>
    <w:multiLevelType w:val="hybridMultilevel"/>
    <w:tmpl w:val="911A1A7A"/>
    <w:lvl w:ilvl="0" w:tplc="388EF9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0"/>
  </w:num>
  <w:num w:numId="3">
    <w:abstractNumId w:val="4"/>
  </w:num>
  <w:num w:numId="4">
    <w:abstractNumId w:val="5"/>
  </w:num>
  <w:num w:numId="5">
    <w:abstractNumId w:val="20"/>
  </w:num>
  <w:num w:numId="6">
    <w:abstractNumId w:val="13"/>
  </w:num>
  <w:num w:numId="7">
    <w:abstractNumId w:val="35"/>
  </w:num>
  <w:num w:numId="8">
    <w:abstractNumId w:val="8"/>
  </w:num>
  <w:num w:numId="9">
    <w:abstractNumId w:val="6"/>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9"/>
  </w:num>
  <w:num w:numId="13">
    <w:abstractNumId w:val="37"/>
  </w:num>
  <w:num w:numId="14">
    <w:abstractNumId w:val="29"/>
  </w:num>
  <w:num w:numId="15">
    <w:abstractNumId w:val="24"/>
  </w:num>
  <w:num w:numId="16">
    <w:abstractNumId w:val="12"/>
  </w:num>
  <w:num w:numId="17">
    <w:abstractNumId w:val="11"/>
  </w:num>
  <w:num w:numId="18">
    <w:abstractNumId w:val="14"/>
  </w:num>
  <w:num w:numId="19">
    <w:abstractNumId w:val="18"/>
  </w:num>
  <w:num w:numId="20">
    <w:abstractNumId w:val="3"/>
  </w:num>
  <w:num w:numId="21">
    <w:abstractNumId w:val="16"/>
  </w:num>
  <w:num w:numId="22">
    <w:abstractNumId w:val="31"/>
  </w:num>
  <w:num w:numId="23">
    <w:abstractNumId w:val="9"/>
  </w:num>
  <w:num w:numId="24">
    <w:abstractNumId w:val="17"/>
  </w:num>
  <w:num w:numId="25">
    <w:abstractNumId w:val="33"/>
  </w:num>
  <w:num w:numId="26">
    <w:abstractNumId w:val="2"/>
  </w:num>
  <w:num w:numId="27">
    <w:abstractNumId w:val="7"/>
  </w:num>
  <w:num w:numId="28">
    <w:abstractNumId w:val="30"/>
  </w:num>
  <w:num w:numId="29">
    <w:abstractNumId w:val="19"/>
  </w:num>
  <w:num w:numId="30">
    <w:abstractNumId w:val="22"/>
  </w:num>
  <w:num w:numId="31">
    <w:abstractNumId w:val="23"/>
  </w:num>
  <w:num w:numId="32">
    <w:abstractNumId w:val="36"/>
  </w:num>
  <w:num w:numId="33">
    <w:abstractNumId w:val="10"/>
  </w:num>
  <w:num w:numId="34">
    <w:abstractNumId w:val="1"/>
  </w:num>
  <w:num w:numId="35">
    <w:abstractNumId w:val="25"/>
  </w:num>
  <w:num w:numId="36">
    <w:abstractNumId w:val="21"/>
  </w:num>
  <w:num w:numId="37">
    <w:abstractNumId w:val="15"/>
  </w:num>
  <w:num w:numId="38">
    <w:abstractNumId w:val="27"/>
  </w:num>
  <w:num w:numId="39">
    <w:abstractNumId w:val="26"/>
  </w:num>
  <w:num w:numId="40">
    <w:abstractNumId w:val="40"/>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53B"/>
    <w:rsid w:val="00001540"/>
    <w:rsid w:val="000016FA"/>
    <w:rsid w:val="00001C88"/>
    <w:rsid w:val="00002630"/>
    <w:rsid w:val="000032C6"/>
    <w:rsid w:val="000053EF"/>
    <w:rsid w:val="00006963"/>
    <w:rsid w:val="00007E9E"/>
    <w:rsid w:val="000100BF"/>
    <w:rsid w:val="0001061D"/>
    <w:rsid w:val="000108DE"/>
    <w:rsid w:val="0001179E"/>
    <w:rsid w:val="00012703"/>
    <w:rsid w:val="00012F0C"/>
    <w:rsid w:val="00013D47"/>
    <w:rsid w:val="00013E24"/>
    <w:rsid w:val="00014177"/>
    <w:rsid w:val="00015616"/>
    <w:rsid w:val="00015EA2"/>
    <w:rsid w:val="00016593"/>
    <w:rsid w:val="000172AF"/>
    <w:rsid w:val="00020C48"/>
    <w:rsid w:val="00020CDE"/>
    <w:rsid w:val="000214CF"/>
    <w:rsid w:val="00021667"/>
    <w:rsid w:val="00021A17"/>
    <w:rsid w:val="000241CA"/>
    <w:rsid w:val="00024610"/>
    <w:rsid w:val="00025112"/>
    <w:rsid w:val="000269BC"/>
    <w:rsid w:val="00026ADF"/>
    <w:rsid w:val="00027012"/>
    <w:rsid w:val="00027192"/>
    <w:rsid w:val="0002724B"/>
    <w:rsid w:val="00031BC5"/>
    <w:rsid w:val="000324A1"/>
    <w:rsid w:val="00033A4B"/>
    <w:rsid w:val="00034739"/>
    <w:rsid w:val="0003477D"/>
    <w:rsid w:val="00034CDA"/>
    <w:rsid w:val="0003527B"/>
    <w:rsid w:val="00035D06"/>
    <w:rsid w:val="00036A30"/>
    <w:rsid w:val="00036F1A"/>
    <w:rsid w:val="000372F9"/>
    <w:rsid w:val="000374AC"/>
    <w:rsid w:val="00040232"/>
    <w:rsid w:val="00040D76"/>
    <w:rsid w:val="00041A99"/>
    <w:rsid w:val="00041C32"/>
    <w:rsid w:val="00043CC3"/>
    <w:rsid w:val="0004518F"/>
    <w:rsid w:val="0004686C"/>
    <w:rsid w:val="00046C5B"/>
    <w:rsid w:val="00046D71"/>
    <w:rsid w:val="000474B9"/>
    <w:rsid w:val="00050786"/>
    <w:rsid w:val="000507B8"/>
    <w:rsid w:val="00052737"/>
    <w:rsid w:val="00054155"/>
    <w:rsid w:val="000566B1"/>
    <w:rsid w:val="0005780A"/>
    <w:rsid w:val="00057A2A"/>
    <w:rsid w:val="00061D0D"/>
    <w:rsid w:val="00061E43"/>
    <w:rsid w:val="0006257A"/>
    <w:rsid w:val="0006270D"/>
    <w:rsid w:val="000627B3"/>
    <w:rsid w:val="0006290F"/>
    <w:rsid w:val="00062EF1"/>
    <w:rsid w:val="000630F5"/>
    <w:rsid w:val="00063935"/>
    <w:rsid w:val="0006470C"/>
    <w:rsid w:val="000654CF"/>
    <w:rsid w:val="00065585"/>
    <w:rsid w:val="000659BF"/>
    <w:rsid w:val="00065FE8"/>
    <w:rsid w:val="000660E4"/>
    <w:rsid w:val="0006752B"/>
    <w:rsid w:val="00071FD5"/>
    <w:rsid w:val="0007286C"/>
    <w:rsid w:val="000738DC"/>
    <w:rsid w:val="00074209"/>
    <w:rsid w:val="00074A90"/>
    <w:rsid w:val="00075919"/>
    <w:rsid w:val="000761E8"/>
    <w:rsid w:val="000762F6"/>
    <w:rsid w:val="00076FCB"/>
    <w:rsid w:val="000803CB"/>
    <w:rsid w:val="00081C7F"/>
    <w:rsid w:val="000823F1"/>
    <w:rsid w:val="000859C1"/>
    <w:rsid w:val="00087C6D"/>
    <w:rsid w:val="00091470"/>
    <w:rsid w:val="00091495"/>
    <w:rsid w:val="00091CC9"/>
    <w:rsid w:val="00091E89"/>
    <w:rsid w:val="0009289B"/>
    <w:rsid w:val="00093128"/>
    <w:rsid w:val="0009489C"/>
    <w:rsid w:val="00095C45"/>
    <w:rsid w:val="0009716D"/>
    <w:rsid w:val="000971DE"/>
    <w:rsid w:val="00097611"/>
    <w:rsid w:val="00097715"/>
    <w:rsid w:val="000A01CA"/>
    <w:rsid w:val="000A075B"/>
    <w:rsid w:val="000A0B50"/>
    <w:rsid w:val="000A1456"/>
    <w:rsid w:val="000A24E2"/>
    <w:rsid w:val="000A26C5"/>
    <w:rsid w:val="000A31A9"/>
    <w:rsid w:val="000A3B6B"/>
    <w:rsid w:val="000A3EEE"/>
    <w:rsid w:val="000A4BA2"/>
    <w:rsid w:val="000A5FBA"/>
    <w:rsid w:val="000A69D0"/>
    <w:rsid w:val="000A6C92"/>
    <w:rsid w:val="000A6C97"/>
    <w:rsid w:val="000A7217"/>
    <w:rsid w:val="000B01AE"/>
    <w:rsid w:val="000B072E"/>
    <w:rsid w:val="000B0DD8"/>
    <w:rsid w:val="000B1255"/>
    <w:rsid w:val="000B13C8"/>
    <w:rsid w:val="000B16F0"/>
    <w:rsid w:val="000B1B27"/>
    <w:rsid w:val="000B1C04"/>
    <w:rsid w:val="000B1EF6"/>
    <w:rsid w:val="000B2094"/>
    <w:rsid w:val="000B25BF"/>
    <w:rsid w:val="000B3F5D"/>
    <w:rsid w:val="000B464E"/>
    <w:rsid w:val="000B5618"/>
    <w:rsid w:val="000B5EE2"/>
    <w:rsid w:val="000B62E1"/>
    <w:rsid w:val="000B6878"/>
    <w:rsid w:val="000B72A6"/>
    <w:rsid w:val="000B7633"/>
    <w:rsid w:val="000B7D2E"/>
    <w:rsid w:val="000C0270"/>
    <w:rsid w:val="000C0B1A"/>
    <w:rsid w:val="000C19C3"/>
    <w:rsid w:val="000C2D8F"/>
    <w:rsid w:val="000C5EBD"/>
    <w:rsid w:val="000C724F"/>
    <w:rsid w:val="000C779A"/>
    <w:rsid w:val="000C7DF1"/>
    <w:rsid w:val="000D02F8"/>
    <w:rsid w:val="000D0713"/>
    <w:rsid w:val="000D0D55"/>
    <w:rsid w:val="000D142A"/>
    <w:rsid w:val="000D2481"/>
    <w:rsid w:val="000D4926"/>
    <w:rsid w:val="000D6F83"/>
    <w:rsid w:val="000D73A1"/>
    <w:rsid w:val="000E064D"/>
    <w:rsid w:val="000E177D"/>
    <w:rsid w:val="000E1926"/>
    <w:rsid w:val="000E1DAF"/>
    <w:rsid w:val="000E2B13"/>
    <w:rsid w:val="000E35C5"/>
    <w:rsid w:val="000E3876"/>
    <w:rsid w:val="000E419D"/>
    <w:rsid w:val="000E4437"/>
    <w:rsid w:val="000E625C"/>
    <w:rsid w:val="000E6E20"/>
    <w:rsid w:val="000E730D"/>
    <w:rsid w:val="000E79F7"/>
    <w:rsid w:val="000F104D"/>
    <w:rsid w:val="000F36DE"/>
    <w:rsid w:val="000F3AD9"/>
    <w:rsid w:val="000F4CE7"/>
    <w:rsid w:val="000F71B0"/>
    <w:rsid w:val="0010259F"/>
    <w:rsid w:val="00102B43"/>
    <w:rsid w:val="00103620"/>
    <w:rsid w:val="00103647"/>
    <w:rsid w:val="00103C52"/>
    <w:rsid w:val="00104656"/>
    <w:rsid w:val="00104F37"/>
    <w:rsid w:val="00106305"/>
    <w:rsid w:val="00106891"/>
    <w:rsid w:val="00107376"/>
    <w:rsid w:val="001074C1"/>
    <w:rsid w:val="00110314"/>
    <w:rsid w:val="00110321"/>
    <w:rsid w:val="00112DE3"/>
    <w:rsid w:val="00112E4B"/>
    <w:rsid w:val="001132D4"/>
    <w:rsid w:val="001140BD"/>
    <w:rsid w:val="001144D8"/>
    <w:rsid w:val="00114689"/>
    <w:rsid w:val="00115A34"/>
    <w:rsid w:val="00115A6E"/>
    <w:rsid w:val="00115B27"/>
    <w:rsid w:val="00116427"/>
    <w:rsid w:val="00116514"/>
    <w:rsid w:val="001179A3"/>
    <w:rsid w:val="001200FA"/>
    <w:rsid w:val="00120250"/>
    <w:rsid w:val="0012076E"/>
    <w:rsid w:val="001220BE"/>
    <w:rsid w:val="00122437"/>
    <w:rsid w:val="00123223"/>
    <w:rsid w:val="00123C20"/>
    <w:rsid w:val="00124E06"/>
    <w:rsid w:val="00125D22"/>
    <w:rsid w:val="0012641D"/>
    <w:rsid w:val="00127D2D"/>
    <w:rsid w:val="00127E18"/>
    <w:rsid w:val="00130148"/>
    <w:rsid w:val="00130F18"/>
    <w:rsid w:val="00131073"/>
    <w:rsid w:val="00131368"/>
    <w:rsid w:val="00132707"/>
    <w:rsid w:val="00134477"/>
    <w:rsid w:val="001351B8"/>
    <w:rsid w:val="00135456"/>
    <w:rsid w:val="00135AC4"/>
    <w:rsid w:val="00135DB7"/>
    <w:rsid w:val="001365BB"/>
    <w:rsid w:val="001365E8"/>
    <w:rsid w:val="00136E7D"/>
    <w:rsid w:val="0013726F"/>
    <w:rsid w:val="00137430"/>
    <w:rsid w:val="0013767F"/>
    <w:rsid w:val="00137AE7"/>
    <w:rsid w:val="00140549"/>
    <w:rsid w:val="00140849"/>
    <w:rsid w:val="0014092F"/>
    <w:rsid w:val="0014115B"/>
    <w:rsid w:val="00141CDF"/>
    <w:rsid w:val="001420A3"/>
    <w:rsid w:val="0014310F"/>
    <w:rsid w:val="00143997"/>
    <w:rsid w:val="001445F1"/>
    <w:rsid w:val="001448FC"/>
    <w:rsid w:val="00147E8F"/>
    <w:rsid w:val="00150F18"/>
    <w:rsid w:val="00151844"/>
    <w:rsid w:val="00152098"/>
    <w:rsid w:val="00153C62"/>
    <w:rsid w:val="00153F66"/>
    <w:rsid w:val="00154E66"/>
    <w:rsid w:val="00155DA7"/>
    <w:rsid w:val="001568DB"/>
    <w:rsid w:val="00156962"/>
    <w:rsid w:val="00156FDD"/>
    <w:rsid w:val="001628AD"/>
    <w:rsid w:val="00163CB3"/>
    <w:rsid w:val="0016500E"/>
    <w:rsid w:val="00165912"/>
    <w:rsid w:val="0016619B"/>
    <w:rsid w:val="001672DE"/>
    <w:rsid w:val="001709F3"/>
    <w:rsid w:val="00170E90"/>
    <w:rsid w:val="00171CEB"/>
    <w:rsid w:val="00172863"/>
    <w:rsid w:val="00172D83"/>
    <w:rsid w:val="00174075"/>
    <w:rsid w:val="00175882"/>
    <w:rsid w:val="001758AD"/>
    <w:rsid w:val="00175A71"/>
    <w:rsid w:val="001775B5"/>
    <w:rsid w:val="00177611"/>
    <w:rsid w:val="0018053B"/>
    <w:rsid w:val="001819CF"/>
    <w:rsid w:val="00183047"/>
    <w:rsid w:val="00183318"/>
    <w:rsid w:val="00183E2F"/>
    <w:rsid w:val="00184A13"/>
    <w:rsid w:val="00184E9E"/>
    <w:rsid w:val="00186780"/>
    <w:rsid w:val="001876E4"/>
    <w:rsid w:val="00191C15"/>
    <w:rsid w:val="00191FA8"/>
    <w:rsid w:val="001921B5"/>
    <w:rsid w:val="001923DE"/>
    <w:rsid w:val="001923EA"/>
    <w:rsid w:val="00192C25"/>
    <w:rsid w:val="0019324D"/>
    <w:rsid w:val="00193942"/>
    <w:rsid w:val="00193973"/>
    <w:rsid w:val="00193EB4"/>
    <w:rsid w:val="001940D6"/>
    <w:rsid w:val="001943C6"/>
    <w:rsid w:val="00194D90"/>
    <w:rsid w:val="0019510D"/>
    <w:rsid w:val="0019535F"/>
    <w:rsid w:val="001969D0"/>
    <w:rsid w:val="001A014C"/>
    <w:rsid w:val="001A030A"/>
    <w:rsid w:val="001A04CA"/>
    <w:rsid w:val="001A3017"/>
    <w:rsid w:val="001A34A9"/>
    <w:rsid w:val="001A3FD7"/>
    <w:rsid w:val="001A4067"/>
    <w:rsid w:val="001A45FC"/>
    <w:rsid w:val="001A4F64"/>
    <w:rsid w:val="001A5363"/>
    <w:rsid w:val="001A5481"/>
    <w:rsid w:val="001A5CB6"/>
    <w:rsid w:val="001A6377"/>
    <w:rsid w:val="001B01BC"/>
    <w:rsid w:val="001B1128"/>
    <w:rsid w:val="001B14C4"/>
    <w:rsid w:val="001B1FC5"/>
    <w:rsid w:val="001B5262"/>
    <w:rsid w:val="001B662B"/>
    <w:rsid w:val="001B69B0"/>
    <w:rsid w:val="001B70F1"/>
    <w:rsid w:val="001B7B0B"/>
    <w:rsid w:val="001C03C2"/>
    <w:rsid w:val="001C0B5E"/>
    <w:rsid w:val="001C1A9C"/>
    <w:rsid w:val="001C278E"/>
    <w:rsid w:val="001C2B66"/>
    <w:rsid w:val="001C317A"/>
    <w:rsid w:val="001C377D"/>
    <w:rsid w:val="001C7800"/>
    <w:rsid w:val="001C7EAA"/>
    <w:rsid w:val="001D18BD"/>
    <w:rsid w:val="001D38AA"/>
    <w:rsid w:val="001D48A3"/>
    <w:rsid w:val="001D67DD"/>
    <w:rsid w:val="001D6CE7"/>
    <w:rsid w:val="001D7BBA"/>
    <w:rsid w:val="001D7E14"/>
    <w:rsid w:val="001E045F"/>
    <w:rsid w:val="001E0565"/>
    <w:rsid w:val="001E1A78"/>
    <w:rsid w:val="001E250E"/>
    <w:rsid w:val="001E2886"/>
    <w:rsid w:val="001E340F"/>
    <w:rsid w:val="001E7AD4"/>
    <w:rsid w:val="001F09F7"/>
    <w:rsid w:val="001F1C3F"/>
    <w:rsid w:val="001F1EAD"/>
    <w:rsid w:val="001F1EEC"/>
    <w:rsid w:val="001F277D"/>
    <w:rsid w:val="001F386A"/>
    <w:rsid w:val="001F414C"/>
    <w:rsid w:val="001F4963"/>
    <w:rsid w:val="001F4E71"/>
    <w:rsid w:val="001F531D"/>
    <w:rsid w:val="001F617B"/>
    <w:rsid w:val="001F72DC"/>
    <w:rsid w:val="001F7A4C"/>
    <w:rsid w:val="00200130"/>
    <w:rsid w:val="00200DDE"/>
    <w:rsid w:val="002013BE"/>
    <w:rsid w:val="00201D1B"/>
    <w:rsid w:val="00201EA7"/>
    <w:rsid w:val="0020263A"/>
    <w:rsid w:val="00202741"/>
    <w:rsid w:val="00203A9D"/>
    <w:rsid w:val="00203E42"/>
    <w:rsid w:val="00204F11"/>
    <w:rsid w:val="002052C5"/>
    <w:rsid w:val="00205736"/>
    <w:rsid w:val="00207A91"/>
    <w:rsid w:val="00207C03"/>
    <w:rsid w:val="00210F68"/>
    <w:rsid w:val="0021270E"/>
    <w:rsid w:val="00215060"/>
    <w:rsid w:val="00215B4E"/>
    <w:rsid w:val="0021618B"/>
    <w:rsid w:val="002174EE"/>
    <w:rsid w:val="00217F7D"/>
    <w:rsid w:val="00220B82"/>
    <w:rsid w:val="002211BC"/>
    <w:rsid w:val="00221463"/>
    <w:rsid w:val="00221DCA"/>
    <w:rsid w:val="00221E4A"/>
    <w:rsid w:val="002228D1"/>
    <w:rsid w:val="00223A49"/>
    <w:rsid w:val="0022401E"/>
    <w:rsid w:val="00224133"/>
    <w:rsid w:val="00225811"/>
    <w:rsid w:val="00226961"/>
    <w:rsid w:val="0022762C"/>
    <w:rsid w:val="002302DB"/>
    <w:rsid w:val="00230BB9"/>
    <w:rsid w:val="002314DB"/>
    <w:rsid w:val="00231675"/>
    <w:rsid w:val="00232C90"/>
    <w:rsid w:val="00232FEA"/>
    <w:rsid w:val="00236F77"/>
    <w:rsid w:val="00237430"/>
    <w:rsid w:val="00240596"/>
    <w:rsid w:val="00240CC6"/>
    <w:rsid w:val="00243B54"/>
    <w:rsid w:val="00244600"/>
    <w:rsid w:val="0024464A"/>
    <w:rsid w:val="002455F3"/>
    <w:rsid w:val="00247909"/>
    <w:rsid w:val="00247EFB"/>
    <w:rsid w:val="002509CA"/>
    <w:rsid w:val="002511FA"/>
    <w:rsid w:val="00251DC7"/>
    <w:rsid w:val="002543E8"/>
    <w:rsid w:val="00254D36"/>
    <w:rsid w:val="00254F6B"/>
    <w:rsid w:val="00256C9B"/>
    <w:rsid w:val="002579EE"/>
    <w:rsid w:val="00261318"/>
    <w:rsid w:val="0026155F"/>
    <w:rsid w:val="00262CF6"/>
    <w:rsid w:val="00262E80"/>
    <w:rsid w:val="00264387"/>
    <w:rsid w:val="00265AC9"/>
    <w:rsid w:val="00265B92"/>
    <w:rsid w:val="00265FD7"/>
    <w:rsid w:val="00267329"/>
    <w:rsid w:val="00267833"/>
    <w:rsid w:val="002717BE"/>
    <w:rsid w:val="00271893"/>
    <w:rsid w:val="00272323"/>
    <w:rsid w:val="00272C8A"/>
    <w:rsid w:val="002730AC"/>
    <w:rsid w:val="00274766"/>
    <w:rsid w:val="00275A08"/>
    <w:rsid w:val="00276471"/>
    <w:rsid w:val="00276DE9"/>
    <w:rsid w:val="002775DC"/>
    <w:rsid w:val="00277C15"/>
    <w:rsid w:val="00280AE2"/>
    <w:rsid w:val="0028259F"/>
    <w:rsid w:val="00282BC7"/>
    <w:rsid w:val="002830DD"/>
    <w:rsid w:val="002848B7"/>
    <w:rsid w:val="00286F50"/>
    <w:rsid w:val="00287065"/>
    <w:rsid w:val="00287D4F"/>
    <w:rsid w:val="002900CA"/>
    <w:rsid w:val="00290FA7"/>
    <w:rsid w:val="002920EE"/>
    <w:rsid w:val="00293228"/>
    <w:rsid w:val="00293AAA"/>
    <w:rsid w:val="00293C48"/>
    <w:rsid w:val="00293CEB"/>
    <w:rsid w:val="00294172"/>
    <w:rsid w:val="0029432E"/>
    <w:rsid w:val="0029499F"/>
    <w:rsid w:val="00294D45"/>
    <w:rsid w:val="00295789"/>
    <w:rsid w:val="00295E6E"/>
    <w:rsid w:val="00295E9F"/>
    <w:rsid w:val="0029675C"/>
    <w:rsid w:val="002A0791"/>
    <w:rsid w:val="002A0EF3"/>
    <w:rsid w:val="002A1519"/>
    <w:rsid w:val="002A1B27"/>
    <w:rsid w:val="002A2235"/>
    <w:rsid w:val="002A2250"/>
    <w:rsid w:val="002A26BB"/>
    <w:rsid w:val="002A2BF0"/>
    <w:rsid w:val="002A31DD"/>
    <w:rsid w:val="002A3753"/>
    <w:rsid w:val="002A449F"/>
    <w:rsid w:val="002A4D23"/>
    <w:rsid w:val="002A587A"/>
    <w:rsid w:val="002A5AC2"/>
    <w:rsid w:val="002A6AC4"/>
    <w:rsid w:val="002B0A69"/>
    <w:rsid w:val="002B11A9"/>
    <w:rsid w:val="002B1AD1"/>
    <w:rsid w:val="002B1D5E"/>
    <w:rsid w:val="002B2976"/>
    <w:rsid w:val="002B2A3B"/>
    <w:rsid w:val="002B38B6"/>
    <w:rsid w:val="002B38BA"/>
    <w:rsid w:val="002B411A"/>
    <w:rsid w:val="002B41C1"/>
    <w:rsid w:val="002B433C"/>
    <w:rsid w:val="002B4971"/>
    <w:rsid w:val="002B4F2F"/>
    <w:rsid w:val="002B5195"/>
    <w:rsid w:val="002B5C2C"/>
    <w:rsid w:val="002B6233"/>
    <w:rsid w:val="002B6319"/>
    <w:rsid w:val="002B6944"/>
    <w:rsid w:val="002C265E"/>
    <w:rsid w:val="002C2E66"/>
    <w:rsid w:val="002C2ECB"/>
    <w:rsid w:val="002C3319"/>
    <w:rsid w:val="002C542E"/>
    <w:rsid w:val="002C65A3"/>
    <w:rsid w:val="002C7CB5"/>
    <w:rsid w:val="002C7CD7"/>
    <w:rsid w:val="002D0302"/>
    <w:rsid w:val="002D16DB"/>
    <w:rsid w:val="002D2133"/>
    <w:rsid w:val="002D2E57"/>
    <w:rsid w:val="002D37D5"/>
    <w:rsid w:val="002D481E"/>
    <w:rsid w:val="002D597E"/>
    <w:rsid w:val="002D6420"/>
    <w:rsid w:val="002D650A"/>
    <w:rsid w:val="002D7463"/>
    <w:rsid w:val="002D74A3"/>
    <w:rsid w:val="002E10D0"/>
    <w:rsid w:val="002E1499"/>
    <w:rsid w:val="002E1714"/>
    <w:rsid w:val="002E308E"/>
    <w:rsid w:val="002E3577"/>
    <w:rsid w:val="002E3C76"/>
    <w:rsid w:val="002E416D"/>
    <w:rsid w:val="002E48A4"/>
    <w:rsid w:val="002E5474"/>
    <w:rsid w:val="002E56B8"/>
    <w:rsid w:val="002E5DF1"/>
    <w:rsid w:val="002E677C"/>
    <w:rsid w:val="002F070A"/>
    <w:rsid w:val="002F0711"/>
    <w:rsid w:val="002F4E2D"/>
    <w:rsid w:val="002F763B"/>
    <w:rsid w:val="00303082"/>
    <w:rsid w:val="003038D8"/>
    <w:rsid w:val="003039C6"/>
    <w:rsid w:val="00303B45"/>
    <w:rsid w:val="00303EF2"/>
    <w:rsid w:val="0030453C"/>
    <w:rsid w:val="003067B0"/>
    <w:rsid w:val="00306D91"/>
    <w:rsid w:val="0030769D"/>
    <w:rsid w:val="00307753"/>
    <w:rsid w:val="00310039"/>
    <w:rsid w:val="00310B5A"/>
    <w:rsid w:val="00310BFC"/>
    <w:rsid w:val="00310F1C"/>
    <w:rsid w:val="0031234D"/>
    <w:rsid w:val="00312C74"/>
    <w:rsid w:val="00314D23"/>
    <w:rsid w:val="00314E1D"/>
    <w:rsid w:val="00314E9C"/>
    <w:rsid w:val="003154CE"/>
    <w:rsid w:val="003157FE"/>
    <w:rsid w:val="00315A71"/>
    <w:rsid w:val="00317000"/>
    <w:rsid w:val="0031707C"/>
    <w:rsid w:val="00317451"/>
    <w:rsid w:val="00320368"/>
    <w:rsid w:val="003204C6"/>
    <w:rsid w:val="00321D26"/>
    <w:rsid w:val="0032217B"/>
    <w:rsid w:val="0032267B"/>
    <w:rsid w:val="003232E5"/>
    <w:rsid w:val="003236FF"/>
    <w:rsid w:val="00323B74"/>
    <w:rsid w:val="003241E6"/>
    <w:rsid w:val="00324743"/>
    <w:rsid w:val="0032484B"/>
    <w:rsid w:val="003249F0"/>
    <w:rsid w:val="00324B62"/>
    <w:rsid w:val="00324FA0"/>
    <w:rsid w:val="00326CD8"/>
    <w:rsid w:val="00326F5D"/>
    <w:rsid w:val="003309DA"/>
    <w:rsid w:val="00330B7F"/>
    <w:rsid w:val="003315C9"/>
    <w:rsid w:val="0033164E"/>
    <w:rsid w:val="003331F6"/>
    <w:rsid w:val="00333824"/>
    <w:rsid w:val="00335E05"/>
    <w:rsid w:val="00336C83"/>
    <w:rsid w:val="00336D6B"/>
    <w:rsid w:val="003370E6"/>
    <w:rsid w:val="00340691"/>
    <w:rsid w:val="003406E0"/>
    <w:rsid w:val="00340D27"/>
    <w:rsid w:val="003420A9"/>
    <w:rsid w:val="00343D48"/>
    <w:rsid w:val="0034595E"/>
    <w:rsid w:val="00346104"/>
    <w:rsid w:val="00346366"/>
    <w:rsid w:val="00346B78"/>
    <w:rsid w:val="00347404"/>
    <w:rsid w:val="00347CFD"/>
    <w:rsid w:val="00350117"/>
    <w:rsid w:val="003517C5"/>
    <w:rsid w:val="00352FD4"/>
    <w:rsid w:val="00353120"/>
    <w:rsid w:val="00354082"/>
    <w:rsid w:val="00354D45"/>
    <w:rsid w:val="00355372"/>
    <w:rsid w:val="00355A9B"/>
    <w:rsid w:val="00355C3D"/>
    <w:rsid w:val="003570A3"/>
    <w:rsid w:val="00361478"/>
    <w:rsid w:val="00361A25"/>
    <w:rsid w:val="00363D66"/>
    <w:rsid w:val="00364456"/>
    <w:rsid w:val="0036459A"/>
    <w:rsid w:val="0036580D"/>
    <w:rsid w:val="003671E6"/>
    <w:rsid w:val="00367962"/>
    <w:rsid w:val="0037055E"/>
    <w:rsid w:val="0037125A"/>
    <w:rsid w:val="003729CF"/>
    <w:rsid w:val="00373975"/>
    <w:rsid w:val="00375AC6"/>
    <w:rsid w:val="00375E0A"/>
    <w:rsid w:val="0037671D"/>
    <w:rsid w:val="00377370"/>
    <w:rsid w:val="00377543"/>
    <w:rsid w:val="00377621"/>
    <w:rsid w:val="003778F2"/>
    <w:rsid w:val="003800CC"/>
    <w:rsid w:val="003809F8"/>
    <w:rsid w:val="00381093"/>
    <w:rsid w:val="0038128C"/>
    <w:rsid w:val="003824D6"/>
    <w:rsid w:val="003827C0"/>
    <w:rsid w:val="00383222"/>
    <w:rsid w:val="00383C1A"/>
    <w:rsid w:val="00384866"/>
    <w:rsid w:val="00384F9C"/>
    <w:rsid w:val="00386D82"/>
    <w:rsid w:val="003908B5"/>
    <w:rsid w:val="00390C2E"/>
    <w:rsid w:val="003919A9"/>
    <w:rsid w:val="00391A97"/>
    <w:rsid w:val="003921FE"/>
    <w:rsid w:val="00392306"/>
    <w:rsid w:val="003924C7"/>
    <w:rsid w:val="00392920"/>
    <w:rsid w:val="003950FE"/>
    <w:rsid w:val="00395BCE"/>
    <w:rsid w:val="00396F81"/>
    <w:rsid w:val="00396FDE"/>
    <w:rsid w:val="00397253"/>
    <w:rsid w:val="0039738E"/>
    <w:rsid w:val="003A17B4"/>
    <w:rsid w:val="003A1A06"/>
    <w:rsid w:val="003A1FEC"/>
    <w:rsid w:val="003A27C6"/>
    <w:rsid w:val="003A27C9"/>
    <w:rsid w:val="003A43CF"/>
    <w:rsid w:val="003A4CDF"/>
    <w:rsid w:val="003A55CC"/>
    <w:rsid w:val="003A567C"/>
    <w:rsid w:val="003A6C37"/>
    <w:rsid w:val="003B021B"/>
    <w:rsid w:val="003B1A9B"/>
    <w:rsid w:val="003B21C5"/>
    <w:rsid w:val="003B353E"/>
    <w:rsid w:val="003B3640"/>
    <w:rsid w:val="003B4F0F"/>
    <w:rsid w:val="003B520D"/>
    <w:rsid w:val="003B74F5"/>
    <w:rsid w:val="003B7E0B"/>
    <w:rsid w:val="003B7F57"/>
    <w:rsid w:val="003C0353"/>
    <w:rsid w:val="003C0595"/>
    <w:rsid w:val="003C07BC"/>
    <w:rsid w:val="003C098F"/>
    <w:rsid w:val="003C1DAF"/>
    <w:rsid w:val="003C399E"/>
    <w:rsid w:val="003C44CD"/>
    <w:rsid w:val="003C496A"/>
    <w:rsid w:val="003C50FA"/>
    <w:rsid w:val="003C5CA7"/>
    <w:rsid w:val="003D1351"/>
    <w:rsid w:val="003D1786"/>
    <w:rsid w:val="003D17E3"/>
    <w:rsid w:val="003D6A29"/>
    <w:rsid w:val="003D6B91"/>
    <w:rsid w:val="003D6D4D"/>
    <w:rsid w:val="003D7476"/>
    <w:rsid w:val="003D7EC3"/>
    <w:rsid w:val="003E3096"/>
    <w:rsid w:val="003E48CF"/>
    <w:rsid w:val="003E4CE0"/>
    <w:rsid w:val="003E4DA3"/>
    <w:rsid w:val="003E5221"/>
    <w:rsid w:val="003E56C0"/>
    <w:rsid w:val="003F20E6"/>
    <w:rsid w:val="003F224C"/>
    <w:rsid w:val="003F256C"/>
    <w:rsid w:val="003F280F"/>
    <w:rsid w:val="003F33AB"/>
    <w:rsid w:val="003F53EA"/>
    <w:rsid w:val="003F5625"/>
    <w:rsid w:val="003F5B3E"/>
    <w:rsid w:val="003F6206"/>
    <w:rsid w:val="003F6F4C"/>
    <w:rsid w:val="003F768D"/>
    <w:rsid w:val="003F7A78"/>
    <w:rsid w:val="00400574"/>
    <w:rsid w:val="004014D6"/>
    <w:rsid w:val="00402723"/>
    <w:rsid w:val="004028CA"/>
    <w:rsid w:val="0040350B"/>
    <w:rsid w:val="00404983"/>
    <w:rsid w:val="004056FC"/>
    <w:rsid w:val="00406552"/>
    <w:rsid w:val="004065E6"/>
    <w:rsid w:val="004076B4"/>
    <w:rsid w:val="00407952"/>
    <w:rsid w:val="004120C4"/>
    <w:rsid w:val="0041297E"/>
    <w:rsid w:val="00412D31"/>
    <w:rsid w:val="004141B2"/>
    <w:rsid w:val="00416162"/>
    <w:rsid w:val="004165CC"/>
    <w:rsid w:val="00416E0C"/>
    <w:rsid w:val="00417919"/>
    <w:rsid w:val="0041793F"/>
    <w:rsid w:val="00417CD0"/>
    <w:rsid w:val="00420323"/>
    <w:rsid w:val="004235F7"/>
    <w:rsid w:val="00423827"/>
    <w:rsid w:val="00424167"/>
    <w:rsid w:val="0042519C"/>
    <w:rsid w:val="004263C3"/>
    <w:rsid w:val="00432041"/>
    <w:rsid w:val="0043431B"/>
    <w:rsid w:val="00435793"/>
    <w:rsid w:val="00435B10"/>
    <w:rsid w:val="0043610A"/>
    <w:rsid w:val="00436277"/>
    <w:rsid w:val="00436409"/>
    <w:rsid w:val="00436AF0"/>
    <w:rsid w:val="00437AA5"/>
    <w:rsid w:val="00440BA2"/>
    <w:rsid w:val="004416C4"/>
    <w:rsid w:val="004421ED"/>
    <w:rsid w:val="0044333D"/>
    <w:rsid w:val="00444531"/>
    <w:rsid w:val="00444B7E"/>
    <w:rsid w:val="00444DFB"/>
    <w:rsid w:val="00445880"/>
    <w:rsid w:val="00446780"/>
    <w:rsid w:val="00447A32"/>
    <w:rsid w:val="00447C0E"/>
    <w:rsid w:val="00451A9C"/>
    <w:rsid w:val="00451ED0"/>
    <w:rsid w:val="004535DE"/>
    <w:rsid w:val="00453A03"/>
    <w:rsid w:val="00453B87"/>
    <w:rsid w:val="0045425B"/>
    <w:rsid w:val="0045535D"/>
    <w:rsid w:val="00457244"/>
    <w:rsid w:val="0045763F"/>
    <w:rsid w:val="00457D40"/>
    <w:rsid w:val="0046000A"/>
    <w:rsid w:val="004600C5"/>
    <w:rsid w:val="004603CD"/>
    <w:rsid w:val="004611E0"/>
    <w:rsid w:val="0046179D"/>
    <w:rsid w:val="004625D6"/>
    <w:rsid w:val="00464A0E"/>
    <w:rsid w:val="00464ACA"/>
    <w:rsid w:val="004650A5"/>
    <w:rsid w:val="004658C7"/>
    <w:rsid w:val="00465C6D"/>
    <w:rsid w:val="00466217"/>
    <w:rsid w:val="00467036"/>
    <w:rsid w:val="00467DC6"/>
    <w:rsid w:val="004709FA"/>
    <w:rsid w:val="00470A63"/>
    <w:rsid w:val="00470B26"/>
    <w:rsid w:val="0047186B"/>
    <w:rsid w:val="00471FD4"/>
    <w:rsid w:val="00472058"/>
    <w:rsid w:val="00474CAE"/>
    <w:rsid w:val="004762AA"/>
    <w:rsid w:val="0047692D"/>
    <w:rsid w:val="0047781F"/>
    <w:rsid w:val="004800B8"/>
    <w:rsid w:val="00480B77"/>
    <w:rsid w:val="00481D29"/>
    <w:rsid w:val="0048289B"/>
    <w:rsid w:val="00483607"/>
    <w:rsid w:val="00483FE7"/>
    <w:rsid w:val="004863E3"/>
    <w:rsid w:val="00487287"/>
    <w:rsid w:val="00492B63"/>
    <w:rsid w:val="00492D0C"/>
    <w:rsid w:val="004936C3"/>
    <w:rsid w:val="00493C03"/>
    <w:rsid w:val="00494041"/>
    <w:rsid w:val="00494761"/>
    <w:rsid w:val="00495BD7"/>
    <w:rsid w:val="00495FEA"/>
    <w:rsid w:val="004965F1"/>
    <w:rsid w:val="00496F32"/>
    <w:rsid w:val="004975CF"/>
    <w:rsid w:val="004A11D1"/>
    <w:rsid w:val="004A1CB3"/>
    <w:rsid w:val="004A2E01"/>
    <w:rsid w:val="004A3B20"/>
    <w:rsid w:val="004A4781"/>
    <w:rsid w:val="004A51F2"/>
    <w:rsid w:val="004A53FD"/>
    <w:rsid w:val="004A5E4B"/>
    <w:rsid w:val="004A629C"/>
    <w:rsid w:val="004B0811"/>
    <w:rsid w:val="004B3C89"/>
    <w:rsid w:val="004B4403"/>
    <w:rsid w:val="004B4A8B"/>
    <w:rsid w:val="004B5942"/>
    <w:rsid w:val="004B7832"/>
    <w:rsid w:val="004B7C4C"/>
    <w:rsid w:val="004C0408"/>
    <w:rsid w:val="004C04E2"/>
    <w:rsid w:val="004C05FF"/>
    <w:rsid w:val="004C3FCD"/>
    <w:rsid w:val="004C43D6"/>
    <w:rsid w:val="004C563F"/>
    <w:rsid w:val="004C60E3"/>
    <w:rsid w:val="004C6CA1"/>
    <w:rsid w:val="004C7F34"/>
    <w:rsid w:val="004D0309"/>
    <w:rsid w:val="004D0749"/>
    <w:rsid w:val="004D13C3"/>
    <w:rsid w:val="004D1888"/>
    <w:rsid w:val="004D2A84"/>
    <w:rsid w:val="004D4FA5"/>
    <w:rsid w:val="004D68F3"/>
    <w:rsid w:val="004D6988"/>
    <w:rsid w:val="004D6F16"/>
    <w:rsid w:val="004E04B9"/>
    <w:rsid w:val="004E05CE"/>
    <w:rsid w:val="004E17BA"/>
    <w:rsid w:val="004E2044"/>
    <w:rsid w:val="004E3AD3"/>
    <w:rsid w:val="004E3F69"/>
    <w:rsid w:val="004E597E"/>
    <w:rsid w:val="004E67B6"/>
    <w:rsid w:val="004E725A"/>
    <w:rsid w:val="004E77FC"/>
    <w:rsid w:val="004E78C4"/>
    <w:rsid w:val="004F083C"/>
    <w:rsid w:val="004F08BD"/>
    <w:rsid w:val="004F12D9"/>
    <w:rsid w:val="004F1D40"/>
    <w:rsid w:val="004F1DDB"/>
    <w:rsid w:val="004F3CEF"/>
    <w:rsid w:val="004F42D9"/>
    <w:rsid w:val="004F4521"/>
    <w:rsid w:val="004F5293"/>
    <w:rsid w:val="004F5E00"/>
    <w:rsid w:val="004F5F1C"/>
    <w:rsid w:val="0050066F"/>
    <w:rsid w:val="00500846"/>
    <w:rsid w:val="00500DE0"/>
    <w:rsid w:val="00503E50"/>
    <w:rsid w:val="00505203"/>
    <w:rsid w:val="00505B7F"/>
    <w:rsid w:val="00507172"/>
    <w:rsid w:val="00507642"/>
    <w:rsid w:val="00507688"/>
    <w:rsid w:val="00507BDE"/>
    <w:rsid w:val="0051223E"/>
    <w:rsid w:val="005122F5"/>
    <w:rsid w:val="00512C9E"/>
    <w:rsid w:val="00513385"/>
    <w:rsid w:val="005133C1"/>
    <w:rsid w:val="00514C9A"/>
    <w:rsid w:val="00514FA9"/>
    <w:rsid w:val="005153D6"/>
    <w:rsid w:val="00516067"/>
    <w:rsid w:val="00516A49"/>
    <w:rsid w:val="005177FF"/>
    <w:rsid w:val="00517A27"/>
    <w:rsid w:val="00521EA0"/>
    <w:rsid w:val="00522213"/>
    <w:rsid w:val="0052349A"/>
    <w:rsid w:val="00525437"/>
    <w:rsid w:val="00525516"/>
    <w:rsid w:val="00525AEE"/>
    <w:rsid w:val="00525F04"/>
    <w:rsid w:val="00526800"/>
    <w:rsid w:val="00527201"/>
    <w:rsid w:val="00527EDB"/>
    <w:rsid w:val="00530834"/>
    <w:rsid w:val="005317D4"/>
    <w:rsid w:val="0053236A"/>
    <w:rsid w:val="00532A9D"/>
    <w:rsid w:val="00533196"/>
    <w:rsid w:val="00534049"/>
    <w:rsid w:val="005344D1"/>
    <w:rsid w:val="00534563"/>
    <w:rsid w:val="00534DF6"/>
    <w:rsid w:val="00534F6A"/>
    <w:rsid w:val="00535555"/>
    <w:rsid w:val="005362B9"/>
    <w:rsid w:val="0053674C"/>
    <w:rsid w:val="005375DA"/>
    <w:rsid w:val="00537785"/>
    <w:rsid w:val="00537F89"/>
    <w:rsid w:val="00540739"/>
    <w:rsid w:val="00542F36"/>
    <w:rsid w:val="00543A03"/>
    <w:rsid w:val="00543EFB"/>
    <w:rsid w:val="0054420E"/>
    <w:rsid w:val="00546E24"/>
    <w:rsid w:val="00547B7C"/>
    <w:rsid w:val="00550837"/>
    <w:rsid w:val="00551859"/>
    <w:rsid w:val="0055256E"/>
    <w:rsid w:val="005531D4"/>
    <w:rsid w:val="005545D1"/>
    <w:rsid w:val="005557C4"/>
    <w:rsid w:val="00555DEC"/>
    <w:rsid w:val="00556E00"/>
    <w:rsid w:val="0055791D"/>
    <w:rsid w:val="00557E1F"/>
    <w:rsid w:val="00557F6B"/>
    <w:rsid w:val="005653A0"/>
    <w:rsid w:val="00565737"/>
    <w:rsid w:val="00566539"/>
    <w:rsid w:val="00567E01"/>
    <w:rsid w:val="00570176"/>
    <w:rsid w:val="005713EE"/>
    <w:rsid w:val="005714D9"/>
    <w:rsid w:val="00572A38"/>
    <w:rsid w:val="00572D18"/>
    <w:rsid w:val="005731B9"/>
    <w:rsid w:val="005764D3"/>
    <w:rsid w:val="00576B0D"/>
    <w:rsid w:val="005807B7"/>
    <w:rsid w:val="00582659"/>
    <w:rsid w:val="0058418B"/>
    <w:rsid w:val="005846C1"/>
    <w:rsid w:val="00584E5D"/>
    <w:rsid w:val="0058667B"/>
    <w:rsid w:val="00586B78"/>
    <w:rsid w:val="0058727C"/>
    <w:rsid w:val="005879E8"/>
    <w:rsid w:val="00587FCE"/>
    <w:rsid w:val="005900B9"/>
    <w:rsid w:val="005903A0"/>
    <w:rsid w:val="00590F54"/>
    <w:rsid w:val="00590FEB"/>
    <w:rsid w:val="00591039"/>
    <w:rsid w:val="0059191A"/>
    <w:rsid w:val="00591B60"/>
    <w:rsid w:val="005924BF"/>
    <w:rsid w:val="00592614"/>
    <w:rsid w:val="00592FF6"/>
    <w:rsid w:val="00595443"/>
    <w:rsid w:val="005957C1"/>
    <w:rsid w:val="005962EE"/>
    <w:rsid w:val="00596A73"/>
    <w:rsid w:val="00596A7E"/>
    <w:rsid w:val="00597BE5"/>
    <w:rsid w:val="00597CB6"/>
    <w:rsid w:val="00597F81"/>
    <w:rsid w:val="005A20DF"/>
    <w:rsid w:val="005A23B1"/>
    <w:rsid w:val="005A28D9"/>
    <w:rsid w:val="005A2E5E"/>
    <w:rsid w:val="005A31DC"/>
    <w:rsid w:val="005A4083"/>
    <w:rsid w:val="005A41F8"/>
    <w:rsid w:val="005A4F82"/>
    <w:rsid w:val="005A6314"/>
    <w:rsid w:val="005B0F5A"/>
    <w:rsid w:val="005B2925"/>
    <w:rsid w:val="005B2C6A"/>
    <w:rsid w:val="005B389E"/>
    <w:rsid w:val="005B4402"/>
    <w:rsid w:val="005B44E2"/>
    <w:rsid w:val="005B4838"/>
    <w:rsid w:val="005B49B1"/>
    <w:rsid w:val="005B50BC"/>
    <w:rsid w:val="005B5261"/>
    <w:rsid w:val="005B5FAB"/>
    <w:rsid w:val="005C0EA8"/>
    <w:rsid w:val="005C1861"/>
    <w:rsid w:val="005C218F"/>
    <w:rsid w:val="005C37C5"/>
    <w:rsid w:val="005C39B0"/>
    <w:rsid w:val="005C516C"/>
    <w:rsid w:val="005C6375"/>
    <w:rsid w:val="005C661B"/>
    <w:rsid w:val="005C67D5"/>
    <w:rsid w:val="005D0317"/>
    <w:rsid w:val="005D0854"/>
    <w:rsid w:val="005D0EF3"/>
    <w:rsid w:val="005D1351"/>
    <w:rsid w:val="005D2889"/>
    <w:rsid w:val="005D2F10"/>
    <w:rsid w:val="005D3526"/>
    <w:rsid w:val="005D36A1"/>
    <w:rsid w:val="005D40E2"/>
    <w:rsid w:val="005D42AD"/>
    <w:rsid w:val="005D484C"/>
    <w:rsid w:val="005D4D4F"/>
    <w:rsid w:val="005D5071"/>
    <w:rsid w:val="005D55C1"/>
    <w:rsid w:val="005D5E87"/>
    <w:rsid w:val="005E06C2"/>
    <w:rsid w:val="005E0E4C"/>
    <w:rsid w:val="005E18F6"/>
    <w:rsid w:val="005E218B"/>
    <w:rsid w:val="005E2313"/>
    <w:rsid w:val="005E32DB"/>
    <w:rsid w:val="005E37C6"/>
    <w:rsid w:val="005E4B8E"/>
    <w:rsid w:val="005E5051"/>
    <w:rsid w:val="005E514A"/>
    <w:rsid w:val="005E6EED"/>
    <w:rsid w:val="005E727A"/>
    <w:rsid w:val="005E78C1"/>
    <w:rsid w:val="005E7A2F"/>
    <w:rsid w:val="005F0614"/>
    <w:rsid w:val="005F1704"/>
    <w:rsid w:val="005F175A"/>
    <w:rsid w:val="005F1E13"/>
    <w:rsid w:val="005F1FCB"/>
    <w:rsid w:val="005F269D"/>
    <w:rsid w:val="005F2FB2"/>
    <w:rsid w:val="005F3531"/>
    <w:rsid w:val="005F3F5C"/>
    <w:rsid w:val="005F43E8"/>
    <w:rsid w:val="005F6248"/>
    <w:rsid w:val="005F66BC"/>
    <w:rsid w:val="005F6DCB"/>
    <w:rsid w:val="005F76DC"/>
    <w:rsid w:val="00601340"/>
    <w:rsid w:val="0060223F"/>
    <w:rsid w:val="00603106"/>
    <w:rsid w:val="006054D4"/>
    <w:rsid w:val="00606431"/>
    <w:rsid w:val="0060658F"/>
    <w:rsid w:val="00606C7C"/>
    <w:rsid w:val="00610ED9"/>
    <w:rsid w:val="00611BE7"/>
    <w:rsid w:val="00612862"/>
    <w:rsid w:val="00612DF4"/>
    <w:rsid w:val="0061382C"/>
    <w:rsid w:val="0061394F"/>
    <w:rsid w:val="006140E2"/>
    <w:rsid w:val="0061433C"/>
    <w:rsid w:val="0061447F"/>
    <w:rsid w:val="00614CAE"/>
    <w:rsid w:val="00614D9C"/>
    <w:rsid w:val="00620627"/>
    <w:rsid w:val="0062067B"/>
    <w:rsid w:val="00620B56"/>
    <w:rsid w:val="00621ECA"/>
    <w:rsid w:val="006232DD"/>
    <w:rsid w:val="00623C0F"/>
    <w:rsid w:val="00623FE2"/>
    <w:rsid w:val="00624CA6"/>
    <w:rsid w:val="006250C0"/>
    <w:rsid w:val="00625235"/>
    <w:rsid w:val="0062632C"/>
    <w:rsid w:val="006265AC"/>
    <w:rsid w:val="006274B0"/>
    <w:rsid w:val="006302F9"/>
    <w:rsid w:val="0063262C"/>
    <w:rsid w:val="00634ABD"/>
    <w:rsid w:val="00635622"/>
    <w:rsid w:val="00637FAF"/>
    <w:rsid w:val="00640854"/>
    <w:rsid w:val="00641CA3"/>
    <w:rsid w:val="00642581"/>
    <w:rsid w:val="0064379A"/>
    <w:rsid w:val="0064550B"/>
    <w:rsid w:val="0064621B"/>
    <w:rsid w:val="00646F87"/>
    <w:rsid w:val="00651EA1"/>
    <w:rsid w:val="00652044"/>
    <w:rsid w:val="00652EA7"/>
    <w:rsid w:val="0065308A"/>
    <w:rsid w:val="00653590"/>
    <w:rsid w:val="006555B3"/>
    <w:rsid w:val="00655753"/>
    <w:rsid w:val="00655B01"/>
    <w:rsid w:val="0065663E"/>
    <w:rsid w:val="00656F22"/>
    <w:rsid w:val="00661A21"/>
    <w:rsid w:val="00661CAF"/>
    <w:rsid w:val="00662C9D"/>
    <w:rsid w:val="006670B4"/>
    <w:rsid w:val="0067059B"/>
    <w:rsid w:val="00670A42"/>
    <w:rsid w:val="00672C4E"/>
    <w:rsid w:val="006730F0"/>
    <w:rsid w:val="00673759"/>
    <w:rsid w:val="00674ED7"/>
    <w:rsid w:val="0067531C"/>
    <w:rsid w:val="00675F00"/>
    <w:rsid w:val="0067624F"/>
    <w:rsid w:val="006764D6"/>
    <w:rsid w:val="00676CD6"/>
    <w:rsid w:val="00677176"/>
    <w:rsid w:val="006775EF"/>
    <w:rsid w:val="00677E2D"/>
    <w:rsid w:val="00680850"/>
    <w:rsid w:val="006814B6"/>
    <w:rsid w:val="00681BE0"/>
    <w:rsid w:val="00681DC7"/>
    <w:rsid w:val="00682B19"/>
    <w:rsid w:val="0068453E"/>
    <w:rsid w:val="00684640"/>
    <w:rsid w:val="00685DC1"/>
    <w:rsid w:val="00685FD2"/>
    <w:rsid w:val="0068675F"/>
    <w:rsid w:val="00686EB3"/>
    <w:rsid w:val="00687DAF"/>
    <w:rsid w:val="00691A1D"/>
    <w:rsid w:val="006933DA"/>
    <w:rsid w:val="006938FE"/>
    <w:rsid w:val="00694084"/>
    <w:rsid w:val="00697C32"/>
    <w:rsid w:val="006A0B2E"/>
    <w:rsid w:val="006A1829"/>
    <w:rsid w:val="006A1BE2"/>
    <w:rsid w:val="006A28A6"/>
    <w:rsid w:val="006A5957"/>
    <w:rsid w:val="006A5EA1"/>
    <w:rsid w:val="006A62AC"/>
    <w:rsid w:val="006A7B99"/>
    <w:rsid w:val="006B0A39"/>
    <w:rsid w:val="006B1249"/>
    <w:rsid w:val="006B145A"/>
    <w:rsid w:val="006B2242"/>
    <w:rsid w:val="006B2336"/>
    <w:rsid w:val="006B248A"/>
    <w:rsid w:val="006B3802"/>
    <w:rsid w:val="006B39F9"/>
    <w:rsid w:val="006B3A21"/>
    <w:rsid w:val="006B3ACB"/>
    <w:rsid w:val="006B41B5"/>
    <w:rsid w:val="006B49D1"/>
    <w:rsid w:val="006B5F0E"/>
    <w:rsid w:val="006B6691"/>
    <w:rsid w:val="006B6900"/>
    <w:rsid w:val="006B6B26"/>
    <w:rsid w:val="006B715E"/>
    <w:rsid w:val="006B782A"/>
    <w:rsid w:val="006B7C8A"/>
    <w:rsid w:val="006C0D7B"/>
    <w:rsid w:val="006C104E"/>
    <w:rsid w:val="006C1D01"/>
    <w:rsid w:val="006C2962"/>
    <w:rsid w:val="006C2998"/>
    <w:rsid w:val="006C2E61"/>
    <w:rsid w:val="006C364A"/>
    <w:rsid w:val="006C386F"/>
    <w:rsid w:val="006C47E6"/>
    <w:rsid w:val="006C4866"/>
    <w:rsid w:val="006C6314"/>
    <w:rsid w:val="006C677D"/>
    <w:rsid w:val="006C7685"/>
    <w:rsid w:val="006C7D50"/>
    <w:rsid w:val="006D0686"/>
    <w:rsid w:val="006D12AD"/>
    <w:rsid w:val="006D1543"/>
    <w:rsid w:val="006D17B8"/>
    <w:rsid w:val="006D1A00"/>
    <w:rsid w:val="006D4197"/>
    <w:rsid w:val="006D4E1C"/>
    <w:rsid w:val="006D4F35"/>
    <w:rsid w:val="006D55D9"/>
    <w:rsid w:val="006D6D89"/>
    <w:rsid w:val="006D7474"/>
    <w:rsid w:val="006D7591"/>
    <w:rsid w:val="006E07C5"/>
    <w:rsid w:val="006E0A3F"/>
    <w:rsid w:val="006E0CCD"/>
    <w:rsid w:val="006E2F13"/>
    <w:rsid w:val="006E326D"/>
    <w:rsid w:val="006E342E"/>
    <w:rsid w:val="006E39CB"/>
    <w:rsid w:val="006E56D8"/>
    <w:rsid w:val="006E5B16"/>
    <w:rsid w:val="006E5B4E"/>
    <w:rsid w:val="006E6EE9"/>
    <w:rsid w:val="006E7279"/>
    <w:rsid w:val="006F0399"/>
    <w:rsid w:val="006F0879"/>
    <w:rsid w:val="006F4677"/>
    <w:rsid w:val="006F59C3"/>
    <w:rsid w:val="006F5E41"/>
    <w:rsid w:val="006F69F5"/>
    <w:rsid w:val="006F7C9B"/>
    <w:rsid w:val="007002F2"/>
    <w:rsid w:val="00701127"/>
    <w:rsid w:val="007012D7"/>
    <w:rsid w:val="00701799"/>
    <w:rsid w:val="00701FF2"/>
    <w:rsid w:val="00702764"/>
    <w:rsid w:val="007044C5"/>
    <w:rsid w:val="007046EC"/>
    <w:rsid w:val="007065F9"/>
    <w:rsid w:val="00706FFE"/>
    <w:rsid w:val="0070706D"/>
    <w:rsid w:val="007105CC"/>
    <w:rsid w:val="00710D3D"/>
    <w:rsid w:val="00711499"/>
    <w:rsid w:val="007127DC"/>
    <w:rsid w:val="00712AAF"/>
    <w:rsid w:val="00712DBE"/>
    <w:rsid w:val="00713377"/>
    <w:rsid w:val="0071440F"/>
    <w:rsid w:val="00714919"/>
    <w:rsid w:val="007149D3"/>
    <w:rsid w:val="007153E8"/>
    <w:rsid w:val="007156E9"/>
    <w:rsid w:val="00715760"/>
    <w:rsid w:val="007159C1"/>
    <w:rsid w:val="007224C2"/>
    <w:rsid w:val="007249A5"/>
    <w:rsid w:val="00725DE1"/>
    <w:rsid w:val="0072640D"/>
    <w:rsid w:val="007278B7"/>
    <w:rsid w:val="00727D50"/>
    <w:rsid w:val="0073061D"/>
    <w:rsid w:val="00730B2C"/>
    <w:rsid w:val="00730D7B"/>
    <w:rsid w:val="00732B1A"/>
    <w:rsid w:val="00733E9E"/>
    <w:rsid w:val="0073621A"/>
    <w:rsid w:val="00736589"/>
    <w:rsid w:val="00736A31"/>
    <w:rsid w:val="00736A40"/>
    <w:rsid w:val="00740B43"/>
    <w:rsid w:val="00740D88"/>
    <w:rsid w:val="007442A1"/>
    <w:rsid w:val="0074713D"/>
    <w:rsid w:val="007473A3"/>
    <w:rsid w:val="0074761D"/>
    <w:rsid w:val="00750631"/>
    <w:rsid w:val="00750B84"/>
    <w:rsid w:val="007510CE"/>
    <w:rsid w:val="00751FE0"/>
    <w:rsid w:val="00752741"/>
    <w:rsid w:val="007537DE"/>
    <w:rsid w:val="00754040"/>
    <w:rsid w:val="007548FF"/>
    <w:rsid w:val="00754AA7"/>
    <w:rsid w:val="00754E47"/>
    <w:rsid w:val="00754FB9"/>
    <w:rsid w:val="00755684"/>
    <w:rsid w:val="00755A24"/>
    <w:rsid w:val="007567E6"/>
    <w:rsid w:val="00756A93"/>
    <w:rsid w:val="00756AAD"/>
    <w:rsid w:val="00756EE9"/>
    <w:rsid w:val="007572C6"/>
    <w:rsid w:val="00757E2E"/>
    <w:rsid w:val="00757EBA"/>
    <w:rsid w:val="00760920"/>
    <w:rsid w:val="00761E32"/>
    <w:rsid w:val="007625DF"/>
    <w:rsid w:val="00762CDE"/>
    <w:rsid w:val="00764818"/>
    <w:rsid w:val="00764E09"/>
    <w:rsid w:val="00764F86"/>
    <w:rsid w:val="00765372"/>
    <w:rsid w:val="00766003"/>
    <w:rsid w:val="007660FB"/>
    <w:rsid w:val="00767ACC"/>
    <w:rsid w:val="00767EF0"/>
    <w:rsid w:val="00771D74"/>
    <w:rsid w:val="00773163"/>
    <w:rsid w:val="007739CA"/>
    <w:rsid w:val="0077400A"/>
    <w:rsid w:val="00774836"/>
    <w:rsid w:val="00775DDB"/>
    <w:rsid w:val="00776D1F"/>
    <w:rsid w:val="007777B1"/>
    <w:rsid w:val="00777E54"/>
    <w:rsid w:val="007809C8"/>
    <w:rsid w:val="00781F69"/>
    <w:rsid w:val="00782665"/>
    <w:rsid w:val="007834D5"/>
    <w:rsid w:val="007838F8"/>
    <w:rsid w:val="00785CAE"/>
    <w:rsid w:val="007876F2"/>
    <w:rsid w:val="00790476"/>
    <w:rsid w:val="00792728"/>
    <w:rsid w:val="00792B67"/>
    <w:rsid w:val="0079481C"/>
    <w:rsid w:val="00795B04"/>
    <w:rsid w:val="00796847"/>
    <w:rsid w:val="007A08CB"/>
    <w:rsid w:val="007A154A"/>
    <w:rsid w:val="007A189D"/>
    <w:rsid w:val="007A24F0"/>
    <w:rsid w:val="007A28A3"/>
    <w:rsid w:val="007A36DE"/>
    <w:rsid w:val="007A38AA"/>
    <w:rsid w:val="007A3AA3"/>
    <w:rsid w:val="007A43F3"/>
    <w:rsid w:val="007A56CD"/>
    <w:rsid w:val="007A5D7E"/>
    <w:rsid w:val="007A60E4"/>
    <w:rsid w:val="007A624A"/>
    <w:rsid w:val="007A63C1"/>
    <w:rsid w:val="007A664B"/>
    <w:rsid w:val="007A678A"/>
    <w:rsid w:val="007A6CD5"/>
    <w:rsid w:val="007A7584"/>
    <w:rsid w:val="007B05B7"/>
    <w:rsid w:val="007B1190"/>
    <w:rsid w:val="007B185C"/>
    <w:rsid w:val="007B2B44"/>
    <w:rsid w:val="007B351D"/>
    <w:rsid w:val="007B3541"/>
    <w:rsid w:val="007B5B7C"/>
    <w:rsid w:val="007B5E5B"/>
    <w:rsid w:val="007B5EC8"/>
    <w:rsid w:val="007B5ECA"/>
    <w:rsid w:val="007B63D1"/>
    <w:rsid w:val="007C0AB9"/>
    <w:rsid w:val="007C0E50"/>
    <w:rsid w:val="007C107F"/>
    <w:rsid w:val="007C1617"/>
    <w:rsid w:val="007C21CF"/>
    <w:rsid w:val="007C332B"/>
    <w:rsid w:val="007C3D2C"/>
    <w:rsid w:val="007C3FE2"/>
    <w:rsid w:val="007C4F6A"/>
    <w:rsid w:val="007C4FC4"/>
    <w:rsid w:val="007C5B38"/>
    <w:rsid w:val="007C5C23"/>
    <w:rsid w:val="007C6B6A"/>
    <w:rsid w:val="007C6CF8"/>
    <w:rsid w:val="007C7846"/>
    <w:rsid w:val="007D04FF"/>
    <w:rsid w:val="007D09B1"/>
    <w:rsid w:val="007D0E7F"/>
    <w:rsid w:val="007D36D0"/>
    <w:rsid w:val="007D371C"/>
    <w:rsid w:val="007D4792"/>
    <w:rsid w:val="007D48FB"/>
    <w:rsid w:val="007D54E6"/>
    <w:rsid w:val="007D56F2"/>
    <w:rsid w:val="007D58C7"/>
    <w:rsid w:val="007D5ACE"/>
    <w:rsid w:val="007D6524"/>
    <w:rsid w:val="007D6D3D"/>
    <w:rsid w:val="007D775F"/>
    <w:rsid w:val="007D7BC5"/>
    <w:rsid w:val="007E00E6"/>
    <w:rsid w:val="007E152B"/>
    <w:rsid w:val="007E19AA"/>
    <w:rsid w:val="007E1ADA"/>
    <w:rsid w:val="007E2A78"/>
    <w:rsid w:val="007E362A"/>
    <w:rsid w:val="007E3A51"/>
    <w:rsid w:val="007E4F4F"/>
    <w:rsid w:val="007E6373"/>
    <w:rsid w:val="007E7249"/>
    <w:rsid w:val="007E7412"/>
    <w:rsid w:val="007F1133"/>
    <w:rsid w:val="007F140C"/>
    <w:rsid w:val="007F1477"/>
    <w:rsid w:val="007F1C2E"/>
    <w:rsid w:val="007F20FA"/>
    <w:rsid w:val="007F218B"/>
    <w:rsid w:val="007F241B"/>
    <w:rsid w:val="007F359B"/>
    <w:rsid w:val="007F37DD"/>
    <w:rsid w:val="007F3A30"/>
    <w:rsid w:val="007F3EDA"/>
    <w:rsid w:val="007F3F03"/>
    <w:rsid w:val="007F4BE4"/>
    <w:rsid w:val="007F4E1D"/>
    <w:rsid w:val="007F5991"/>
    <w:rsid w:val="007F6712"/>
    <w:rsid w:val="007F712D"/>
    <w:rsid w:val="007F7150"/>
    <w:rsid w:val="007F789D"/>
    <w:rsid w:val="00800332"/>
    <w:rsid w:val="0080176C"/>
    <w:rsid w:val="00802139"/>
    <w:rsid w:val="00802572"/>
    <w:rsid w:val="0080263E"/>
    <w:rsid w:val="008027F6"/>
    <w:rsid w:val="008028CB"/>
    <w:rsid w:val="00803C38"/>
    <w:rsid w:val="0080445C"/>
    <w:rsid w:val="00805880"/>
    <w:rsid w:val="008061DC"/>
    <w:rsid w:val="00806A8E"/>
    <w:rsid w:val="00807205"/>
    <w:rsid w:val="00807489"/>
    <w:rsid w:val="008077B5"/>
    <w:rsid w:val="00807CFB"/>
    <w:rsid w:val="00807D2D"/>
    <w:rsid w:val="00810EA4"/>
    <w:rsid w:val="0081281C"/>
    <w:rsid w:val="0081388A"/>
    <w:rsid w:val="008144FA"/>
    <w:rsid w:val="008146C7"/>
    <w:rsid w:val="00814862"/>
    <w:rsid w:val="008149A7"/>
    <w:rsid w:val="00816D79"/>
    <w:rsid w:val="00817B57"/>
    <w:rsid w:val="00820960"/>
    <w:rsid w:val="00820A88"/>
    <w:rsid w:val="00821391"/>
    <w:rsid w:val="0082384B"/>
    <w:rsid w:val="00825554"/>
    <w:rsid w:val="00825774"/>
    <w:rsid w:val="00825ED2"/>
    <w:rsid w:val="00826DC8"/>
    <w:rsid w:val="0083215E"/>
    <w:rsid w:val="0083219B"/>
    <w:rsid w:val="00832424"/>
    <w:rsid w:val="00833157"/>
    <w:rsid w:val="008348E5"/>
    <w:rsid w:val="00837575"/>
    <w:rsid w:val="00837BCD"/>
    <w:rsid w:val="00840F84"/>
    <w:rsid w:val="00842C08"/>
    <w:rsid w:val="00842E42"/>
    <w:rsid w:val="00843F2E"/>
    <w:rsid w:val="00844685"/>
    <w:rsid w:val="00844E9C"/>
    <w:rsid w:val="00844F7E"/>
    <w:rsid w:val="00845EE9"/>
    <w:rsid w:val="00847218"/>
    <w:rsid w:val="00847C7F"/>
    <w:rsid w:val="0085062D"/>
    <w:rsid w:val="00850CD1"/>
    <w:rsid w:val="00850D3E"/>
    <w:rsid w:val="00851D6B"/>
    <w:rsid w:val="00851E8D"/>
    <w:rsid w:val="00852F1A"/>
    <w:rsid w:val="00853F42"/>
    <w:rsid w:val="008541D5"/>
    <w:rsid w:val="008547E3"/>
    <w:rsid w:val="00861029"/>
    <w:rsid w:val="00862DA2"/>
    <w:rsid w:val="00862F9B"/>
    <w:rsid w:val="00865080"/>
    <w:rsid w:val="0086526E"/>
    <w:rsid w:val="00865C3D"/>
    <w:rsid w:val="008663A7"/>
    <w:rsid w:val="00866659"/>
    <w:rsid w:val="008667E7"/>
    <w:rsid w:val="008668B0"/>
    <w:rsid w:val="00867B61"/>
    <w:rsid w:val="00867EF1"/>
    <w:rsid w:val="00873F6D"/>
    <w:rsid w:val="0087599D"/>
    <w:rsid w:val="00877530"/>
    <w:rsid w:val="008809F2"/>
    <w:rsid w:val="008812DA"/>
    <w:rsid w:val="008823D9"/>
    <w:rsid w:val="0088383B"/>
    <w:rsid w:val="008846F1"/>
    <w:rsid w:val="0088484C"/>
    <w:rsid w:val="00885932"/>
    <w:rsid w:val="008865A7"/>
    <w:rsid w:val="00886FE4"/>
    <w:rsid w:val="00891870"/>
    <w:rsid w:val="00892DEB"/>
    <w:rsid w:val="00894596"/>
    <w:rsid w:val="00894F8D"/>
    <w:rsid w:val="00895F05"/>
    <w:rsid w:val="008961F8"/>
    <w:rsid w:val="008962F8"/>
    <w:rsid w:val="008974AF"/>
    <w:rsid w:val="0089792E"/>
    <w:rsid w:val="00897F0E"/>
    <w:rsid w:val="00897FA4"/>
    <w:rsid w:val="008A0636"/>
    <w:rsid w:val="008A11E0"/>
    <w:rsid w:val="008A1857"/>
    <w:rsid w:val="008A31BC"/>
    <w:rsid w:val="008A3639"/>
    <w:rsid w:val="008A42AF"/>
    <w:rsid w:val="008A47E5"/>
    <w:rsid w:val="008A5AAD"/>
    <w:rsid w:val="008A6E61"/>
    <w:rsid w:val="008B0D14"/>
    <w:rsid w:val="008B150B"/>
    <w:rsid w:val="008B19AA"/>
    <w:rsid w:val="008B391D"/>
    <w:rsid w:val="008B44BF"/>
    <w:rsid w:val="008B5439"/>
    <w:rsid w:val="008B55D1"/>
    <w:rsid w:val="008B5BA1"/>
    <w:rsid w:val="008B6820"/>
    <w:rsid w:val="008C0C80"/>
    <w:rsid w:val="008C0E64"/>
    <w:rsid w:val="008C1263"/>
    <w:rsid w:val="008C1301"/>
    <w:rsid w:val="008C1A19"/>
    <w:rsid w:val="008C4182"/>
    <w:rsid w:val="008C76B8"/>
    <w:rsid w:val="008C7B7B"/>
    <w:rsid w:val="008D0D0A"/>
    <w:rsid w:val="008D0FFF"/>
    <w:rsid w:val="008D1036"/>
    <w:rsid w:val="008D121D"/>
    <w:rsid w:val="008D19CE"/>
    <w:rsid w:val="008D22D7"/>
    <w:rsid w:val="008D44A1"/>
    <w:rsid w:val="008D51F4"/>
    <w:rsid w:val="008D5BB3"/>
    <w:rsid w:val="008D5DE3"/>
    <w:rsid w:val="008D68EA"/>
    <w:rsid w:val="008D6AE7"/>
    <w:rsid w:val="008D6D98"/>
    <w:rsid w:val="008D724A"/>
    <w:rsid w:val="008D767E"/>
    <w:rsid w:val="008D77B8"/>
    <w:rsid w:val="008D7803"/>
    <w:rsid w:val="008D7A9A"/>
    <w:rsid w:val="008E220F"/>
    <w:rsid w:val="008E27F7"/>
    <w:rsid w:val="008E3729"/>
    <w:rsid w:val="008E40EF"/>
    <w:rsid w:val="008E4570"/>
    <w:rsid w:val="008E5215"/>
    <w:rsid w:val="008E5612"/>
    <w:rsid w:val="008E5DD9"/>
    <w:rsid w:val="008E6532"/>
    <w:rsid w:val="008E6611"/>
    <w:rsid w:val="008E78C7"/>
    <w:rsid w:val="008F1975"/>
    <w:rsid w:val="008F30AF"/>
    <w:rsid w:val="008F34B7"/>
    <w:rsid w:val="008F3ED8"/>
    <w:rsid w:val="008F3F3A"/>
    <w:rsid w:val="008F4C52"/>
    <w:rsid w:val="008F55AE"/>
    <w:rsid w:val="008F6AE7"/>
    <w:rsid w:val="008F78CC"/>
    <w:rsid w:val="008F7BAF"/>
    <w:rsid w:val="00900BD0"/>
    <w:rsid w:val="00902464"/>
    <w:rsid w:val="009032FB"/>
    <w:rsid w:val="00904904"/>
    <w:rsid w:val="00904D0A"/>
    <w:rsid w:val="00906119"/>
    <w:rsid w:val="00910548"/>
    <w:rsid w:val="009106DF"/>
    <w:rsid w:val="00910B7C"/>
    <w:rsid w:val="00911719"/>
    <w:rsid w:val="00911AB8"/>
    <w:rsid w:val="00912837"/>
    <w:rsid w:val="0091371E"/>
    <w:rsid w:val="00914124"/>
    <w:rsid w:val="009148B8"/>
    <w:rsid w:val="009148F9"/>
    <w:rsid w:val="00914ADA"/>
    <w:rsid w:val="00915086"/>
    <w:rsid w:val="009152B4"/>
    <w:rsid w:val="00915C42"/>
    <w:rsid w:val="00917B86"/>
    <w:rsid w:val="00917DC9"/>
    <w:rsid w:val="00921466"/>
    <w:rsid w:val="0092186C"/>
    <w:rsid w:val="0092198F"/>
    <w:rsid w:val="00921F0F"/>
    <w:rsid w:val="0092249B"/>
    <w:rsid w:val="00923B76"/>
    <w:rsid w:val="009248BA"/>
    <w:rsid w:val="00924C8E"/>
    <w:rsid w:val="009250CE"/>
    <w:rsid w:val="009255CC"/>
    <w:rsid w:val="00925723"/>
    <w:rsid w:val="00925DC7"/>
    <w:rsid w:val="0092684A"/>
    <w:rsid w:val="009269C7"/>
    <w:rsid w:val="00926A75"/>
    <w:rsid w:val="00930750"/>
    <w:rsid w:val="00930C60"/>
    <w:rsid w:val="00930EA6"/>
    <w:rsid w:val="00930EEA"/>
    <w:rsid w:val="00931CA6"/>
    <w:rsid w:val="00932203"/>
    <w:rsid w:val="00932B36"/>
    <w:rsid w:val="00933811"/>
    <w:rsid w:val="009338BF"/>
    <w:rsid w:val="00933919"/>
    <w:rsid w:val="00933C5A"/>
    <w:rsid w:val="00934037"/>
    <w:rsid w:val="0093463B"/>
    <w:rsid w:val="00934AAD"/>
    <w:rsid w:val="009353E3"/>
    <w:rsid w:val="00936BDE"/>
    <w:rsid w:val="009372C8"/>
    <w:rsid w:val="00937E2A"/>
    <w:rsid w:val="00941FBD"/>
    <w:rsid w:val="009428BA"/>
    <w:rsid w:val="009430E3"/>
    <w:rsid w:val="0094353E"/>
    <w:rsid w:val="0094419B"/>
    <w:rsid w:val="00944A7F"/>
    <w:rsid w:val="00945C6B"/>
    <w:rsid w:val="009466E6"/>
    <w:rsid w:val="00947C98"/>
    <w:rsid w:val="00950A57"/>
    <w:rsid w:val="0095379B"/>
    <w:rsid w:val="009539D1"/>
    <w:rsid w:val="009543E8"/>
    <w:rsid w:val="00956008"/>
    <w:rsid w:val="00956268"/>
    <w:rsid w:val="00956957"/>
    <w:rsid w:val="0095762E"/>
    <w:rsid w:val="009579C1"/>
    <w:rsid w:val="00961E62"/>
    <w:rsid w:val="0096486C"/>
    <w:rsid w:val="0096604C"/>
    <w:rsid w:val="009661A0"/>
    <w:rsid w:val="009663C6"/>
    <w:rsid w:val="009671D4"/>
    <w:rsid w:val="00967E91"/>
    <w:rsid w:val="00967FF5"/>
    <w:rsid w:val="00970A8A"/>
    <w:rsid w:val="009715EA"/>
    <w:rsid w:val="00971DEC"/>
    <w:rsid w:val="009721FB"/>
    <w:rsid w:val="00972383"/>
    <w:rsid w:val="0097253D"/>
    <w:rsid w:val="00972689"/>
    <w:rsid w:val="00972962"/>
    <w:rsid w:val="00972C1A"/>
    <w:rsid w:val="0097325B"/>
    <w:rsid w:val="00973337"/>
    <w:rsid w:val="0097357F"/>
    <w:rsid w:val="00973965"/>
    <w:rsid w:val="00974BFE"/>
    <w:rsid w:val="00975CA0"/>
    <w:rsid w:val="00975DF6"/>
    <w:rsid w:val="00976401"/>
    <w:rsid w:val="0097796B"/>
    <w:rsid w:val="00977AFB"/>
    <w:rsid w:val="00980DC9"/>
    <w:rsid w:val="00980EA4"/>
    <w:rsid w:val="0098124E"/>
    <w:rsid w:val="009822C9"/>
    <w:rsid w:val="009828EC"/>
    <w:rsid w:val="0098609E"/>
    <w:rsid w:val="00986259"/>
    <w:rsid w:val="00986440"/>
    <w:rsid w:val="0098782E"/>
    <w:rsid w:val="00987E32"/>
    <w:rsid w:val="00990340"/>
    <w:rsid w:val="0099128C"/>
    <w:rsid w:val="0099299F"/>
    <w:rsid w:val="00992B38"/>
    <w:rsid w:val="00992EC8"/>
    <w:rsid w:val="00993E14"/>
    <w:rsid w:val="00994A24"/>
    <w:rsid w:val="00994F5E"/>
    <w:rsid w:val="009950E6"/>
    <w:rsid w:val="00995367"/>
    <w:rsid w:val="0099625E"/>
    <w:rsid w:val="00997888"/>
    <w:rsid w:val="009A059B"/>
    <w:rsid w:val="009A0CEE"/>
    <w:rsid w:val="009A110E"/>
    <w:rsid w:val="009A212B"/>
    <w:rsid w:val="009A2867"/>
    <w:rsid w:val="009A28E6"/>
    <w:rsid w:val="009A44BF"/>
    <w:rsid w:val="009A49BB"/>
    <w:rsid w:val="009A5571"/>
    <w:rsid w:val="009A7A7E"/>
    <w:rsid w:val="009A7C70"/>
    <w:rsid w:val="009A7EE5"/>
    <w:rsid w:val="009A7F9E"/>
    <w:rsid w:val="009B14C0"/>
    <w:rsid w:val="009B2791"/>
    <w:rsid w:val="009B437B"/>
    <w:rsid w:val="009B4884"/>
    <w:rsid w:val="009B5986"/>
    <w:rsid w:val="009B59EC"/>
    <w:rsid w:val="009B5A68"/>
    <w:rsid w:val="009B70BD"/>
    <w:rsid w:val="009C1587"/>
    <w:rsid w:val="009C1AFB"/>
    <w:rsid w:val="009C32CB"/>
    <w:rsid w:val="009C39B4"/>
    <w:rsid w:val="009C4274"/>
    <w:rsid w:val="009C66F6"/>
    <w:rsid w:val="009D0752"/>
    <w:rsid w:val="009D1CC5"/>
    <w:rsid w:val="009D3016"/>
    <w:rsid w:val="009D3A4D"/>
    <w:rsid w:val="009D3C35"/>
    <w:rsid w:val="009D50A9"/>
    <w:rsid w:val="009D5D20"/>
    <w:rsid w:val="009D7160"/>
    <w:rsid w:val="009D7EF6"/>
    <w:rsid w:val="009E0148"/>
    <w:rsid w:val="009E2CC6"/>
    <w:rsid w:val="009E379D"/>
    <w:rsid w:val="009E4553"/>
    <w:rsid w:val="009E4F49"/>
    <w:rsid w:val="009E66EF"/>
    <w:rsid w:val="009E6E14"/>
    <w:rsid w:val="009E7279"/>
    <w:rsid w:val="009E7799"/>
    <w:rsid w:val="009E79D9"/>
    <w:rsid w:val="009F0DBC"/>
    <w:rsid w:val="009F20C0"/>
    <w:rsid w:val="009F2208"/>
    <w:rsid w:val="009F256D"/>
    <w:rsid w:val="009F483C"/>
    <w:rsid w:val="009F514A"/>
    <w:rsid w:val="009F6B1C"/>
    <w:rsid w:val="00A00130"/>
    <w:rsid w:val="00A011C5"/>
    <w:rsid w:val="00A0225F"/>
    <w:rsid w:val="00A02555"/>
    <w:rsid w:val="00A0663A"/>
    <w:rsid w:val="00A06E20"/>
    <w:rsid w:val="00A07408"/>
    <w:rsid w:val="00A1128D"/>
    <w:rsid w:val="00A1213D"/>
    <w:rsid w:val="00A13BCD"/>
    <w:rsid w:val="00A13CFC"/>
    <w:rsid w:val="00A14E04"/>
    <w:rsid w:val="00A155DC"/>
    <w:rsid w:val="00A15943"/>
    <w:rsid w:val="00A15980"/>
    <w:rsid w:val="00A16484"/>
    <w:rsid w:val="00A169C0"/>
    <w:rsid w:val="00A21934"/>
    <w:rsid w:val="00A21BDC"/>
    <w:rsid w:val="00A22008"/>
    <w:rsid w:val="00A224EA"/>
    <w:rsid w:val="00A22D31"/>
    <w:rsid w:val="00A23175"/>
    <w:rsid w:val="00A24082"/>
    <w:rsid w:val="00A24DBD"/>
    <w:rsid w:val="00A2524F"/>
    <w:rsid w:val="00A25476"/>
    <w:rsid w:val="00A25F41"/>
    <w:rsid w:val="00A2611C"/>
    <w:rsid w:val="00A262F8"/>
    <w:rsid w:val="00A26F6A"/>
    <w:rsid w:val="00A27470"/>
    <w:rsid w:val="00A27762"/>
    <w:rsid w:val="00A27958"/>
    <w:rsid w:val="00A30977"/>
    <w:rsid w:val="00A30A6A"/>
    <w:rsid w:val="00A31E81"/>
    <w:rsid w:val="00A327FB"/>
    <w:rsid w:val="00A35723"/>
    <w:rsid w:val="00A35CA6"/>
    <w:rsid w:val="00A37F33"/>
    <w:rsid w:val="00A40921"/>
    <w:rsid w:val="00A41A2B"/>
    <w:rsid w:val="00A42634"/>
    <w:rsid w:val="00A42FA5"/>
    <w:rsid w:val="00A4323D"/>
    <w:rsid w:val="00A43608"/>
    <w:rsid w:val="00A43FC9"/>
    <w:rsid w:val="00A45F37"/>
    <w:rsid w:val="00A46F95"/>
    <w:rsid w:val="00A4738A"/>
    <w:rsid w:val="00A5235D"/>
    <w:rsid w:val="00A52D41"/>
    <w:rsid w:val="00A53705"/>
    <w:rsid w:val="00A53775"/>
    <w:rsid w:val="00A53C0A"/>
    <w:rsid w:val="00A541C7"/>
    <w:rsid w:val="00A542BD"/>
    <w:rsid w:val="00A547BB"/>
    <w:rsid w:val="00A5589C"/>
    <w:rsid w:val="00A558AE"/>
    <w:rsid w:val="00A55A1C"/>
    <w:rsid w:val="00A55DCF"/>
    <w:rsid w:val="00A56514"/>
    <w:rsid w:val="00A56558"/>
    <w:rsid w:val="00A56CA6"/>
    <w:rsid w:val="00A570FA"/>
    <w:rsid w:val="00A578F0"/>
    <w:rsid w:val="00A57E34"/>
    <w:rsid w:val="00A615E0"/>
    <w:rsid w:val="00A61D86"/>
    <w:rsid w:val="00A623CD"/>
    <w:rsid w:val="00A625EF"/>
    <w:rsid w:val="00A6352F"/>
    <w:rsid w:val="00A63AC5"/>
    <w:rsid w:val="00A63AFB"/>
    <w:rsid w:val="00A63DF4"/>
    <w:rsid w:val="00A64C3D"/>
    <w:rsid w:val="00A6533B"/>
    <w:rsid w:val="00A659D1"/>
    <w:rsid w:val="00A65A36"/>
    <w:rsid w:val="00A66FB6"/>
    <w:rsid w:val="00A67B4B"/>
    <w:rsid w:val="00A72B8C"/>
    <w:rsid w:val="00A72E72"/>
    <w:rsid w:val="00A72F2E"/>
    <w:rsid w:val="00A73916"/>
    <w:rsid w:val="00A74327"/>
    <w:rsid w:val="00A76043"/>
    <w:rsid w:val="00A76DB4"/>
    <w:rsid w:val="00A77032"/>
    <w:rsid w:val="00A77112"/>
    <w:rsid w:val="00A8267D"/>
    <w:rsid w:val="00A82ACD"/>
    <w:rsid w:val="00A82BF0"/>
    <w:rsid w:val="00A82DDF"/>
    <w:rsid w:val="00A84269"/>
    <w:rsid w:val="00A84474"/>
    <w:rsid w:val="00A851CA"/>
    <w:rsid w:val="00A85499"/>
    <w:rsid w:val="00A85A3A"/>
    <w:rsid w:val="00A85EB5"/>
    <w:rsid w:val="00A86DB7"/>
    <w:rsid w:val="00A86F97"/>
    <w:rsid w:val="00A87739"/>
    <w:rsid w:val="00A87965"/>
    <w:rsid w:val="00A87D9F"/>
    <w:rsid w:val="00A87F03"/>
    <w:rsid w:val="00A92096"/>
    <w:rsid w:val="00A93F65"/>
    <w:rsid w:val="00A9411B"/>
    <w:rsid w:val="00A94474"/>
    <w:rsid w:val="00A94BA0"/>
    <w:rsid w:val="00A94D3A"/>
    <w:rsid w:val="00A94D3B"/>
    <w:rsid w:val="00A96CCF"/>
    <w:rsid w:val="00A97DA2"/>
    <w:rsid w:val="00AA1908"/>
    <w:rsid w:val="00AA2659"/>
    <w:rsid w:val="00AA26DF"/>
    <w:rsid w:val="00AA2722"/>
    <w:rsid w:val="00AA2FB8"/>
    <w:rsid w:val="00AA5D32"/>
    <w:rsid w:val="00AA7DC1"/>
    <w:rsid w:val="00AB044F"/>
    <w:rsid w:val="00AB40EC"/>
    <w:rsid w:val="00AB4D63"/>
    <w:rsid w:val="00AB6758"/>
    <w:rsid w:val="00AB7C82"/>
    <w:rsid w:val="00AC0A68"/>
    <w:rsid w:val="00AC0E71"/>
    <w:rsid w:val="00AC1625"/>
    <w:rsid w:val="00AC1C21"/>
    <w:rsid w:val="00AC1E04"/>
    <w:rsid w:val="00AC2EDD"/>
    <w:rsid w:val="00AC359E"/>
    <w:rsid w:val="00AC4972"/>
    <w:rsid w:val="00AC4E23"/>
    <w:rsid w:val="00AC7092"/>
    <w:rsid w:val="00AC79AD"/>
    <w:rsid w:val="00AD0BEA"/>
    <w:rsid w:val="00AD0C9A"/>
    <w:rsid w:val="00AD27E8"/>
    <w:rsid w:val="00AD2D6E"/>
    <w:rsid w:val="00AD4061"/>
    <w:rsid w:val="00AD52B5"/>
    <w:rsid w:val="00AD5FFD"/>
    <w:rsid w:val="00AD7E36"/>
    <w:rsid w:val="00AE1102"/>
    <w:rsid w:val="00AE139B"/>
    <w:rsid w:val="00AE168F"/>
    <w:rsid w:val="00AE19BE"/>
    <w:rsid w:val="00AE2A3A"/>
    <w:rsid w:val="00AE2B24"/>
    <w:rsid w:val="00AE30AC"/>
    <w:rsid w:val="00AE3937"/>
    <w:rsid w:val="00AE4D3C"/>
    <w:rsid w:val="00AE644C"/>
    <w:rsid w:val="00AE655E"/>
    <w:rsid w:val="00AE69A2"/>
    <w:rsid w:val="00AE7039"/>
    <w:rsid w:val="00AE77D8"/>
    <w:rsid w:val="00AE7802"/>
    <w:rsid w:val="00AE7B72"/>
    <w:rsid w:val="00AF02AE"/>
    <w:rsid w:val="00AF116D"/>
    <w:rsid w:val="00AF16F7"/>
    <w:rsid w:val="00AF2F78"/>
    <w:rsid w:val="00AF44B5"/>
    <w:rsid w:val="00AF69FD"/>
    <w:rsid w:val="00AF6A90"/>
    <w:rsid w:val="00AF6CF4"/>
    <w:rsid w:val="00AF71D7"/>
    <w:rsid w:val="00AF725A"/>
    <w:rsid w:val="00B00915"/>
    <w:rsid w:val="00B00DB5"/>
    <w:rsid w:val="00B012D2"/>
    <w:rsid w:val="00B013AC"/>
    <w:rsid w:val="00B01460"/>
    <w:rsid w:val="00B01593"/>
    <w:rsid w:val="00B0183B"/>
    <w:rsid w:val="00B02163"/>
    <w:rsid w:val="00B02762"/>
    <w:rsid w:val="00B03150"/>
    <w:rsid w:val="00B0394E"/>
    <w:rsid w:val="00B042DE"/>
    <w:rsid w:val="00B04575"/>
    <w:rsid w:val="00B05D66"/>
    <w:rsid w:val="00B06A16"/>
    <w:rsid w:val="00B06DDC"/>
    <w:rsid w:val="00B07E24"/>
    <w:rsid w:val="00B110AF"/>
    <w:rsid w:val="00B1138B"/>
    <w:rsid w:val="00B11B32"/>
    <w:rsid w:val="00B12997"/>
    <w:rsid w:val="00B1332F"/>
    <w:rsid w:val="00B14A62"/>
    <w:rsid w:val="00B14B20"/>
    <w:rsid w:val="00B15963"/>
    <w:rsid w:val="00B2005E"/>
    <w:rsid w:val="00B20579"/>
    <w:rsid w:val="00B20C73"/>
    <w:rsid w:val="00B2253A"/>
    <w:rsid w:val="00B22FA4"/>
    <w:rsid w:val="00B24224"/>
    <w:rsid w:val="00B24255"/>
    <w:rsid w:val="00B24A99"/>
    <w:rsid w:val="00B25205"/>
    <w:rsid w:val="00B27BD9"/>
    <w:rsid w:val="00B32666"/>
    <w:rsid w:val="00B32681"/>
    <w:rsid w:val="00B33AA9"/>
    <w:rsid w:val="00B34A41"/>
    <w:rsid w:val="00B35801"/>
    <w:rsid w:val="00B35969"/>
    <w:rsid w:val="00B35BF0"/>
    <w:rsid w:val="00B36220"/>
    <w:rsid w:val="00B36328"/>
    <w:rsid w:val="00B36C53"/>
    <w:rsid w:val="00B378EF"/>
    <w:rsid w:val="00B40FB1"/>
    <w:rsid w:val="00B435D0"/>
    <w:rsid w:val="00B43FE4"/>
    <w:rsid w:val="00B441C6"/>
    <w:rsid w:val="00B44F9F"/>
    <w:rsid w:val="00B4512F"/>
    <w:rsid w:val="00B4546D"/>
    <w:rsid w:val="00B4574C"/>
    <w:rsid w:val="00B47490"/>
    <w:rsid w:val="00B5339C"/>
    <w:rsid w:val="00B537BA"/>
    <w:rsid w:val="00B53DA7"/>
    <w:rsid w:val="00B5486A"/>
    <w:rsid w:val="00B55114"/>
    <w:rsid w:val="00B5594D"/>
    <w:rsid w:val="00B55C29"/>
    <w:rsid w:val="00B55FF4"/>
    <w:rsid w:val="00B56501"/>
    <w:rsid w:val="00B575E0"/>
    <w:rsid w:val="00B576FC"/>
    <w:rsid w:val="00B577FF"/>
    <w:rsid w:val="00B5785E"/>
    <w:rsid w:val="00B60299"/>
    <w:rsid w:val="00B6109A"/>
    <w:rsid w:val="00B619D5"/>
    <w:rsid w:val="00B62E11"/>
    <w:rsid w:val="00B63E58"/>
    <w:rsid w:val="00B664A8"/>
    <w:rsid w:val="00B66D20"/>
    <w:rsid w:val="00B67A88"/>
    <w:rsid w:val="00B67BFF"/>
    <w:rsid w:val="00B70018"/>
    <w:rsid w:val="00B7095D"/>
    <w:rsid w:val="00B716F5"/>
    <w:rsid w:val="00B71B40"/>
    <w:rsid w:val="00B72346"/>
    <w:rsid w:val="00B7263A"/>
    <w:rsid w:val="00B73817"/>
    <w:rsid w:val="00B738D7"/>
    <w:rsid w:val="00B744BA"/>
    <w:rsid w:val="00B74CAD"/>
    <w:rsid w:val="00B75E3C"/>
    <w:rsid w:val="00B75E52"/>
    <w:rsid w:val="00B80D98"/>
    <w:rsid w:val="00B82E94"/>
    <w:rsid w:val="00B840E3"/>
    <w:rsid w:val="00B84AF2"/>
    <w:rsid w:val="00B860DA"/>
    <w:rsid w:val="00B86CE6"/>
    <w:rsid w:val="00B87FDD"/>
    <w:rsid w:val="00B905D5"/>
    <w:rsid w:val="00B90D36"/>
    <w:rsid w:val="00B91E23"/>
    <w:rsid w:val="00B9294E"/>
    <w:rsid w:val="00B95222"/>
    <w:rsid w:val="00B95A6E"/>
    <w:rsid w:val="00B96B83"/>
    <w:rsid w:val="00B97395"/>
    <w:rsid w:val="00BA138F"/>
    <w:rsid w:val="00BA1AC9"/>
    <w:rsid w:val="00BA2641"/>
    <w:rsid w:val="00BA2FB4"/>
    <w:rsid w:val="00BA3072"/>
    <w:rsid w:val="00BA3314"/>
    <w:rsid w:val="00BA4010"/>
    <w:rsid w:val="00BA4751"/>
    <w:rsid w:val="00BA48D1"/>
    <w:rsid w:val="00BA5CBE"/>
    <w:rsid w:val="00BA7B86"/>
    <w:rsid w:val="00BB08F8"/>
    <w:rsid w:val="00BB20A3"/>
    <w:rsid w:val="00BB22B6"/>
    <w:rsid w:val="00BB294E"/>
    <w:rsid w:val="00BB2BCE"/>
    <w:rsid w:val="00BB316E"/>
    <w:rsid w:val="00BB48D6"/>
    <w:rsid w:val="00BC0E1C"/>
    <w:rsid w:val="00BC12DE"/>
    <w:rsid w:val="00BC20C3"/>
    <w:rsid w:val="00BC22BA"/>
    <w:rsid w:val="00BC2888"/>
    <w:rsid w:val="00BC2D6B"/>
    <w:rsid w:val="00BC2FDA"/>
    <w:rsid w:val="00BC33F3"/>
    <w:rsid w:val="00BC4001"/>
    <w:rsid w:val="00BC5A22"/>
    <w:rsid w:val="00BC61B4"/>
    <w:rsid w:val="00BC61EF"/>
    <w:rsid w:val="00BC6B72"/>
    <w:rsid w:val="00BD135F"/>
    <w:rsid w:val="00BD2C30"/>
    <w:rsid w:val="00BD3196"/>
    <w:rsid w:val="00BD3813"/>
    <w:rsid w:val="00BD4397"/>
    <w:rsid w:val="00BD533D"/>
    <w:rsid w:val="00BD606D"/>
    <w:rsid w:val="00BD610E"/>
    <w:rsid w:val="00BD68F0"/>
    <w:rsid w:val="00BD708B"/>
    <w:rsid w:val="00BD7FA7"/>
    <w:rsid w:val="00BE24B1"/>
    <w:rsid w:val="00BE269C"/>
    <w:rsid w:val="00BE26EC"/>
    <w:rsid w:val="00BE3864"/>
    <w:rsid w:val="00BE4269"/>
    <w:rsid w:val="00BE4F08"/>
    <w:rsid w:val="00BE58A0"/>
    <w:rsid w:val="00BE65F6"/>
    <w:rsid w:val="00BF0AAA"/>
    <w:rsid w:val="00BF0DF6"/>
    <w:rsid w:val="00BF12C8"/>
    <w:rsid w:val="00BF16B2"/>
    <w:rsid w:val="00BF22C3"/>
    <w:rsid w:val="00BF2A95"/>
    <w:rsid w:val="00BF3D6C"/>
    <w:rsid w:val="00BF5133"/>
    <w:rsid w:val="00BF5F0D"/>
    <w:rsid w:val="00BF6378"/>
    <w:rsid w:val="00BF6FDA"/>
    <w:rsid w:val="00C01311"/>
    <w:rsid w:val="00C017DD"/>
    <w:rsid w:val="00C04B6C"/>
    <w:rsid w:val="00C04D01"/>
    <w:rsid w:val="00C05108"/>
    <w:rsid w:val="00C051F9"/>
    <w:rsid w:val="00C05985"/>
    <w:rsid w:val="00C05EEA"/>
    <w:rsid w:val="00C0624C"/>
    <w:rsid w:val="00C0629F"/>
    <w:rsid w:val="00C07978"/>
    <w:rsid w:val="00C07AAD"/>
    <w:rsid w:val="00C111A9"/>
    <w:rsid w:val="00C16640"/>
    <w:rsid w:val="00C16DC0"/>
    <w:rsid w:val="00C17232"/>
    <w:rsid w:val="00C173F7"/>
    <w:rsid w:val="00C20DC8"/>
    <w:rsid w:val="00C21978"/>
    <w:rsid w:val="00C23927"/>
    <w:rsid w:val="00C2665D"/>
    <w:rsid w:val="00C26BFA"/>
    <w:rsid w:val="00C27D86"/>
    <w:rsid w:val="00C30758"/>
    <w:rsid w:val="00C320F4"/>
    <w:rsid w:val="00C3243C"/>
    <w:rsid w:val="00C3268F"/>
    <w:rsid w:val="00C344CA"/>
    <w:rsid w:val="00C34672"/>
    <w:rsid w:val="00C34BE4"/>
    <w:rsid w:val="00C34F1F"/>
    <w:rsid w:val="00C35BD0"/>
    <w:rsid w:val="00C36266"/>
    <w:rsid w:val="00C3671F"/>
    <w:rsid w:val="00C36EE9"/>
    <w:rsid w:val="00C37298"/>
    <w:rsid w:val="00C422F6"/>
    <w:rsid w:val="00C423B8"/>
    <w:rsid w:val="00C429C6"/>
    <w:rsid w:val="00C43033"/>
    <w:rsid w:val="00C43E49"/>
    <w:rsid w:val="00C43F21"/>
    <w:rsid w:val="00C44ADD"/>
    <w:rsid w:val="00C45A8E"/>
    <w:rsid w:val="00C46C38"/>
    <w:rsid w:val="00C5060C"/>
    <w:rsid w:val="00C50C58"/>
    <w:rsid w:val="00C5255D"/>
    <w:rsid w:val="00C52F4D"/>
    <w:rsid w:val="00C55798"/>
    <w:rsid w:val="00C56962"/>
    <w:rsid w:val="00C56BB4"/>
    <w:rsid w:val="00C57820"/>
    <w:rsid w:val="00C5790E"/>
    <w:rsid w:val="00C60C37"/>
    <w:rsid w:val="00C60F24"/>
    <w:rsid w:val="00C6154D"/>
    <w:rsid w:val="00C61F7D"/>
    <w:rsid w:val="00C62377"/>
    <w:rsid w:val="00C62811"/>
    <w:rsid w:val="00C6311F"/>
    <w:rsid w:val="00C64466"/>
    <w:rsid w:val="00C6460B"/>
    <w:rsid w:val="00C64A2C"/>
    <w:rsid w:val="00C64E4C"/>
    <w:rsid w:val="00C64FCB"/>
    <w:rsid w:val="00C65790"/>
    <w:rsid w:val="00C65F85"/>
    <w:rsid w:val="00C66041"/>
    <w:rsid w:val="00C71166"/>
    <w:rsid w:val="00C719A2"/>
    <w:rsid w:val="00C71AF2"/>
    <w:rsid w:val="00C71D07"/>
    <w:rsid w:val="00C71E1E"/>
    <w:rsid w:val="00C73736"/>
    <w:rsid w:val="00C73AA0"/>
    <w:rsid w:val="00C74257"/>
    <w:rsid w:val="00C74674"/>
    <w:rsid w:val="00C74A3D"/>
    <w:rsid w:val="00C76A34"/>
    <w:rsid w:val="00C77C0E"/>
    <w:rsid w:val="00C81B8F"/>
    <w:rsid w:val="00C82740"/>
    <w:rsid w:val="00C827EA"/>
    <w:rsid w:val="00C835F1"/>
    <w:rsid w:val="00C83D3E"/>
    <w:rsid w:val="00C84062"/>
    <w:rsid w:val="00C8408F"/>
    <w:rsid w:val="00C84542"/>
    <w:rsid w:val="00C85148"/>
    <w:rsid w:val="00C856D4"/>
    <w:rsid w:val="00C85C0A"/>
    <w:rsid w:val="00C85F99"/>
    <w:rsid w:val="00C87CBA"/>
    <w:rsid w:val="00C87E8F"/>
    <w:rsid w:val="00C90084"/>
    <w:rsid w:val="00C90977"/>
    <w:rsid w:val="00C90DD9"/>
    <w:rsid w:val="00C91A09"/>
    <w:rsid w:val="00C924DE"/>
    <w:rsid w:val="00C928BF"/>
    <w:rsid w:val="00C94444"/>
    <w:rsid w:val="00C964D8"/>
    <w:rsid w:val="00C97373"/>
    <w:rsid w:val="00CA0CE9"/>
    <w:rsid w:val="00CA1DE0"/>
    <w:rsid w:val="00CA1F3E"/>
    <w:rsid w:val="00CA38A3"/>
    <w:rsid w:val="00CA3929"/>
    <w:rsid w:val="00CA4061"/>
    <w:rsid w:val="00CA4302"/>
    <w:rsid w:val="00CA4E0C"/>
    <w:rsid w:val="00CA5199"/>
    <w:rsid w:val="00CA5475"/>
    <w:rsid w:val="00CA5BCD"/>
    <w:rsid w:val="00CA6343"/>
    <w:rsid w:val="00CB0D4B"/>
    <w:rsid w:val="00CB2558"/>
    <w:rsid w:val="00CB3C78"/>
    <w:rsid w:val="00CB3DD7"/>
    <w:rsid w:val="00CB3EDD"/>
    <w:rsid w:val="00CB45DF"/>
    <w:rsid w:val="00CB4667"/>
    <w:rsid w:val="00CB615E"/>
    <w:rsid w:val="00CB6499"/>
    <w:rsid w:val="00CB6C08"/>
    <w:rsid w:val="00CB6D21"/>
    <w:rsid w:val="00CC0A67"/>
    <w:rsid w:val="00CC120E"/>
    <w:rsid w:val="00CC1488"/>
    <w:rsid w:val="00CC1BE7"/>
    <w:rsid w:val="00CC1C77"/>
    <w:rsid w:val="00CC2587"/>
    <w:rsid w:val="00CC3A66"/>
    <w:rsid w:val="00CC4EFE"/>
    <w:rsid w:val="00CC50FE"/>
    <w:rsid w:val="00CC679F"/>
    <w:rsid w:val="00CC7BE9"/>
    <w:rsid w:val="00CD005B"/>
    <w:rsid w:val="00CD063F"/>
    <w:rsid w:val="00CD0C2B"/>
    <w:rsid w:val="00CD14F3"/>
    <w:rsid w:val="00CD1913"/>
    <w:rsid w:val="00CD1D94"/>
    <w:rsid w:val="00CD21EA"/>
    <w:rsid w:val="00CD2D38"/>
    <w:rsid w:val="00CD32FE"/>
    <w:rsid w:val="00CD3836"/>
    <w:rsid w:val="00CD4121"/>
    <w:rsid w:val="00CD474B"/>
    <w:rsid w:val="00CD4BD0"/>
    <w:rsid w:val="00CD4C0A"/>
    <w:rsid w:val="00CD6901"/>
    <w:rsid w:val="00CD6B66"/>
    <w:rsid w:val="00CD7195"/>
    <w:rsid w:val="00CD7D59"/>
    <w:rsid w:val="00CE218A"/>
    <w:rsid w:val="00CE3142"/>
    <w:rsid w:val="00CE3A32"/>
    <w:rsid w:val="00CE3D5C"/>
    <w:rsid w:val="00CE5512"/>
    <w:rsid w:val="00CE6748"/>
    <w:rsid w:val="00CF2DE0"/>
    <w:rsid w:val="00CF3D71"/>
    <w:rsid w:val="00CF53A0"/>
    <w:rsid w:val="00CF6DCC"/>
    <w:rsid w:val="00CF6E06"/>
    <w:rsid w:val="00CF740A"/>
    <w:rsid w:val="00CF7E9B"/>
    <w:rsid w:val="00D00F38"/>
    <w:rsid w:val="00D016F1"/>
    <w:rsid w:val="00D01E17"/>
    <w:rsid w:val="00D020BF"/>
    <w:rsid w:val="00D0223C"/>
    <w:rsid w:val="00D023BA"/>
    <w:rsid w:val="00D024CB"/>
    <w:rsid w:val="00D02690"/>
    <w:rsid w:val="00D043BA"/>
    <w:rsid w:val="00D045C1"/>
    <w:rsid w:val="00D05270"/>
    <w:rsid w:val="00D10DB0"/>
    <w:rsid w:val="00D11A0D"/>
    <w:rsid w:val="00D12BEE"/>
    <w:rsid w:val="00D12CEA"/>
    <w:rsid w:val="00D12F84"/>
    <w:rsid w:val="00D12FB0"/>
    <w:rsid w:val="00D13AF0"/>
    <w:rsid w:val="00D13FDC"/>
    <w:rsid w:val="00D13FF6"/>
    <w:rsid w:val="00D1451F"/>
    <w:rsid w:val="00D14EFF"/>
    <w:rsid w:val="00D15033"/>
    <w:rsid w:val="00D1516A"/>
    <w:rsid w:val="00D1667F"/>
    <w:rsid w:val="00D166DA"/>
    <w:rsid w:val="00D202CB"/>
    <w:rsid w:val="00D23AB0"/>
    <w:rsid w:val="00D27489"/>
    <w:rsid w:val="00D3023A"/>
    <w:rsid w:val="00D306FB"/>
    <w:rsid w:val="00D30B00"/>
    <w:rsid w:val="00D336FE"/>
    <w:rsid w:val="00D337D1"/>
    <w:rsid w:val="00D355D0"/>
    <w:rsid w:val="00D35B42"/>
    <w:rsid w:val="00D3631F"/>
    <w:rsid w:val="00D36F7A"/>
    <w:rsid w:val="00D40A33"/>
    <w:rsid w:val="00D422A0"/>
    <w:rsid w:val="00D42AEE"/>
    <w:rsid w:val="00D42C6B"/>
    <w:rsid w:val="00D4434F"/>
    <w:rsid w:val="00D44717"/>
    <w:rsid w:val="00D44BA1"/>
    <w:rsid w:val="00D45B86"/>
    <w:rsid w:val="00D466A9"/>
    <w:rsid w:val="00D5048E"/>
    <w:rsid w:val="00D507B5"/>
    <w:rsid w:val="00D50A18"/>
    <w:rsid w:val="00D50B48"/>
    <w:rsid w:val="00D50E53"/>
    <w:rsid w:val="00D513CB"/>
    <w:rsid w:val="00D53E79"/>
    <w:rsid w:val="00D546AC"/>
    <w:rsid w:val="00D54AEF"/>
    <w:rsid w:val="00D56400"/>
    <w:rsid w:val="00D60B47"/>
    <w:rsid w:val="00D6124D"/>
    <w:rsid w:val="00D62F77"/>
    <w:rsid w:val="00D63605"/>
    <w:rsid w:val="00D6398A"/>
    <w:rsid w:val="00D64664"/>
    <w:rsid w:val="00D661A2"/>
    <w:rsid w:val="00D66B73"/>
    <w:rsid w:val="00D70F99"/>
    <w:rsid w:val="00D71EA8"/>
    <w:rsid w:val="00D72744"/>
    <w:rsid w:val="00D73471"/>
    <w:rsid w:val="00D73CCF"/>
    <w:rsid w:val="00D74A52"/>
    <w:rsid w:val="00D74DD4"/>
    <w:rsid w:val="00D75374"/>
    <w:rsid w:val="00D754EC"/>
    <w:rsid w:val="00D75501"/>
    <w:rsid w:val="00D75CB9"/>
    <w:rsid w:val="00D76AF5"/>
    <w:rsid w:val="00D77DC7"/>
    <w:rsid w:val="00D806E6"/>
    <w:rsid w:val="00D817BC"/>
    <w:rsid w:val="00D826E9"/>
    <w:rsid w:val="00D8433E"/>
    <w:rsid w:val="00D84D74"/>
    <w:rsid w:val="00D8663C"/>
    <w:rsid w:val="00D90DBC"/>
    <w:rsid w:val="00D914DF"/>
    <w:rsid w:val="00D91CE7"/>
    <w:rsid w:val="00D9238F"/>
    <w:rsid w:val="00D93622"/>
    <w:rsid w:val="00D93F7E"/>
    <w:rsid w:val="00D947F2"/>
    <w:rsid w:val="00D95761"/>
    <w:rsid w:val="00D958D0"/>
    <w:rsid w:val="00D95B54"/>
    <w:rsid w:val="00D96383"/>
    <w:rsid w:val="00D96641"/>
    <w:rsid w:val="00D966C6"/>
    <w:rsid w:val="00D97616"/>
    <w:rsid w:val="00D97805"/>
    <w:rsid w:val="00DA072B"/>
    <w:rsid w:val="00DA09B2"/>
    <w:rsid w:val="00DA1013"/>
    <w:rsid w:val="00DA12FC"/>
    <w:rsid w:val="00DA17D0"/>
    <w:rsid w:val="00DA1A61"/>
    <w:rsid w:val="00DA24DD"/>
    <w:rsid w:val="00DA26C1"/>
    <w:rsid w:val="00DA3055"/>
    <w:rsid w:val="00DA39C0"/>
    <w:rsid w:val="00DA5559"/>
    <w:rsid w:val="00DA650B"/>
    <w:rsid w:val="00DA67AF"/>
    <w:rsid w:val="00DA6F57"/>
    <w:rsid w:val="00DB021F"/>
    <w:rsid w:val="00DB2129"/>
    <w:rsid w:val="00DB2140"/>
    <w:rsid w:val="00DB2584"/>
    <w:rsid w:val="00DB3C6F"/>
    <w:rsid w:val="00DB3D43"/>
    <w:rsid w:val="00DB3F8F"/>
    <w:rsid w:val="00DB4747"/>
    <w:rsid w:val="00DB4C73"/>
    <w:rsid w:val="00DB4FDA"/>
    <w:rsid w:val="00DB5A89"/>
    <w:rsid w:val="00DB66DB"/>
    <w:rsid w:val="00DB6BCD"/>
    <w:rsid w:val="00DB6C92"/>
    <w:rsid w:val="00DB71C1"/>
    <w:rsid w:val="00DB74D9"/>
    <w:rsid w:val="00DB7E1C"/>
    <w:rsid w:val="00DB7FE9"/>
    <w:rsid w:val="00DC1A13"/>
    <w:rsid w:val="00DC1D91"/>
    <w:rsid w:val="00DC223C"/>
    <w:rsid w:val="00DC50AF"/>
    <w:rsid w:val="00DC6CEC"/>
    <w:rsid w:val="00DC6E36"/>
    <w:rsid w:val="00DC728C"/>
    <w:rsid w:val="00DC7615"/>
    <w:rsid w:val="00DD1629"/>
    <w:rsid w:val="00DD3329"/>
    <w:rsid w:val="00DD51ED"/>
    <w:rsid w:val="00DD666F"/>
    <w:rsid w:val="00DD6A0B"/>
    <w:rsid w:val="00DD7AAB"/>
    <w:rsid w:val="00DE15B9"/>
    <w:rsid w:val="00DE191C"/>
    <w:rsid w:val="00DE25E3"/>
    <w:rsid w:val="00DE26EC"/>
    <w:rsid w:val="00DE2EF9"/>
    <w:rsid w:val="00DE47B4"/>
    <w:rsid w:val="00DE485D"/>
    <w:rsid w:val="00DE498E"/>
    <w:rsid w:val="00DE4A38"/>
    <w:rsid w:val="00DE7218"/>
    <w:rsid w:val="00DE7BCD"/>
    <w:rsid w:val="00DF19D6"/>
    <w:rsid w:val="00DF241B"/>
    <w:rsid w:val="00DF2E4E"/>
    <w:rsid w:val="00DF3689"/>
    <w:rsid w:val="00DF5507"/>
    <w:rsid w:val="00E00901"/>
    <w:rsid w:val="00E02D82"/>
    <w:rsid w:val="00E0361E"/>
    <w:rsid w:val="00E03908"/>
    <w:rsid w:val="00E03A03"/>
    <w:rsid w:val="00E0420A"/>
    <w:rsid w:val="00E04360"/>
    <w:rsid w:val="00E04BC6"/>
    <w:rsid w:val="00E05243"/>
    <w:rsid w:val="00E052DF"/>
    <w:rsid w:val="00E056AF"/>
    <w:rsid w:val="00E05DA4"/>
    <w:rsid w:val="00E05E88"/>
    <w:rsid w:val="00E0641A"/>
    <w:rsid w:val="00E07981"/>
    <w:rsid w:val="00E07B55"/>
    <w:rsid w:val="00E07D1E"/>
    <w:rsid w:val="00E107E8"/>
    <w:rsid w:val="00E10BF2"/>
    <w:rsid w:val="00E10D29"/>
    <w:rsid w:val="00E1295C"/>
    <w:rsid w:val="00E1333C"/>
    <w:rsid w:val="00E135AD"/>
    <w:rsid w:val="00E13DAF"/>
    <w:rsid w:val="00E141D3"/>
    <w:rsid w:val="00E1492E"/>
    <w:rsid w:val="00E15097"/>
    <w:rsid w:val="00E15ACA"/>
    <w:rsid w:val="00E168C5"/>
    <w:rsid w:val="00E204C4"/>
    <w:rsid w:val="00E2088C"/>
    <w:rsid w:val="00E20BFC"/>
    <w:rsid w:val="00E210A2"/>
    <w:rsid w:val="00E239AA"/>
    <w:rsid w:val="00E25F4C"/>
    <w:rsid w:val="00E25F82"/>
    <w:rsid w:val="00E26579"/>
    <w:rsid w:val="00E3061D"/>
    <w:rsid w:val="00E3100B"/>
    <w:rsid w:val="00E312C9"/>
    <w:rsid w:val="00E314E1"/>
    <w:rsid w:val="00E33F19"/>
    <w:rsid w:val="00E3401D"/>
    <w:rsid w:val="00E3406D"/>
    <w:rsid w:val="00E3416A"/>
    <w:rsid w:val="00E34424"/>
    <w:rsid w:val="00E34D6A"/>
    <w:rsid w:val="00E352FB"/>
    <w:rsid w:val="00E36700"/>
    <w:rsid w:val="00E4287F"/>
    <w:rsid w:val="00E43A1A"/>
    <w:rsid w:val="00E43B39"/>
    <w:rsid w:val="00E451AF"/>
    <w:rsid w:val="00E47079"/>
    <w:rsid w:val="00E5121E"/>
    <w:rsid w:val="00E514B7"/>
    <w:rsid w:val="00E51A3E"/>
    <w:rsid w:val="00E51B99"/>
    <w:rsid w:val="00E524A8"/>
    <w:rsid w:val="00E5380F"/>
    <w:rsid w:val="00E5457C"/>
    <w:rsid w:val="00E558F6"/>
    <w:rsid w:val="00E56548"/>
    <w:rsid w:val="00E569B0"/>
    <w:rsid w:val="00E56D45"/>
    <w:rsid w:val="00E5752B"/>
    <w:rsid w:val="00E57943"/>
    <w:rsid w:val="00E57B03"/>
    <w:rsid w:val="00E61F27"/>
    <w:rsid w:val="00E667C5"/>
    <w:rsid w:val="00E66EE2"/>
    <w:rsid w:val="00E6766D"/>
    <w:rsid w:val="00E70075"/>
    <w:rsid w:val="00E70E55"/>
    <w:rsid w:val="00E71EDD"/>
    <w:rsid w:val="00E72236"/>
    <w:rsid w:val="00E727B6"/>
    <w:rsid w:val="00E7482D"/>
    <w:rsid w:val="00E7508D"/>
    <w:rsid w:val="00E75CE4"/>
    <w:rsid w:val="00E7604E"/>
    <w:rsid w:val="00E7710A"/>
    <w:rsid w:val="00E7722C"/>
    <w:rsid w:val="00E77A48"/>
    <w:rsid w:val="00E808DD"/>
    <w:rsid w:val="00E80DD5"/>
    <w:rsid w:val="00E80DF8"/>
    <w:rsid w:val="00E817E3"/>
    <w:rsid w:val="00E822F8"/>
    <w:rsid w:val="00E825A7"/>
    <w:rsid w:val="00E83464"/>
    <w:rsid w:val="00E83E87"/>
    <w:rsid w:val="00E84472"/>
    <w:rsid w:val="00E86FF3"/>
    <w:rsid w:val="00E8731B"/>
    <w:rsid w:val="00E879C0"/>
    <w:rsid w:val="00E900C1"/>
    <w:rsid w:val="00E9042A"/>
    <w:rsid w:val="00E90ECC"/>
    <w:rsid w:val="00E911A5"/>
    <w:rsid w:val="00E92996"/>
    <w:rsid w:val="00E938FB"/>
    <w:rsid w:val="00E95607"/>
    <w:rsid w:val="00E95AF9"/>
    <w:rsid w:val="00E95B20"/>
    <w:rsid w:val="00E961F4"/>
    <w:rsid w:val="00E96208"/>
    <w:rsid w:val="00E9726B"/>
    <w:rsid w:val="00EA027A"/>
    <w:rsid w:val="00EA05D7"/>
    <w:rsid w:val="00EA1172"/>
    <w:rsid w:val="00EA1504"/>
    <w:rsid w:val="00EA287B"/>
    <w:rsid w:val="00EA64E9"/>
    <w:rsid w:val="00EA7373"/>
    <w:rsid w:val="00EA74F3"/>
    <w:rsid w:val="00EA7854"/>
    <w:rsid w:val="00EA7EB1"/>
    <w:rsid w:val="00EB21CE"/>
    <w:rsid w:val="00EB3061"/>
    <w:rsid w:val="00EB3F03"/>
    <w:rsid w:val="00EB46D0"/>
    <w:rsid w:val="00EB5C1C"/>
    <w:rsid w:val="00EB7162"/>
    <w:rsid w:val="00EC16BD"/>
    <w:rsid w:val="00EC1949"/>
    <w:rsid w:val="00EC36D3"/>
    <w:rsid w:val="00EC5630"/>
    <w:rsid w:val="00EC65FF"/>
    <w:rsid w:val="00ED030A"/>
    <w:rsid w:val="00ED0726"/>
    <w:rsid w:val="00ED0F57"/>
    <w:rsid w:val="00ED13B3"/>
    <w:rsid w:val="00ED1483"/>
    <w:rsid w:val="00ED16C6"/>
    <w:rsid w:val="00ED1EA8"/>
    <w:rsid w:val="00ED38C6"/>
    <w:rsid w:val="00ED3EF7"/>
    <w:rsid w:val="00ED46CE"/>
    <w:rsid w:val="00ED4D58"/>
    <w:rsid w:val="00ED6537"/>
    <w:rsid w:val="00ED67D9"/>
    <w:rsid w:val="00EE05FC"/>
    <w:rsid w:val="00EE19C6"/>
    <w:rsid w:val="00EE2FF0"/>
    <w:rsid w:val="00EE490A"/>
    <w:rsid w:val="00EE5008"/>
    <w:rsid w:val="00EE5207"/>
    <w:rsid w:val="00EE6EC6"/>
    <w:rsid w:val="00EE7CBA"/>
    <w:rsid w:val="00EF009B"/>
    <w:rsid w:val="00EF0AC1"/>
    <w:rsid w:val="00EF156A"/>
    <w:rsid w:val="00EF1B71"/>
    <w:rsid w:val="00EF2BCD"/>
    <w:rsid w:val="00EF3DDD"/>
    <w:rsid w:val="00EF4ECA"/>
    <w:rsid w:val="00EF5FB4"/>
    <w:rsid w:val="00EF76CA"/>
    <w:rsid w:val="00EF7EA4"/>
    <w:rsid w:val="00F00990"/>
    <w:rsid w:val="00F0136D"/>
    <w:rsid w:val="00F013CD"/>
    <w:rsid w:val="00F018F8"/>
    <w:rsid w:val="00F01FA8"/>
    <w:rsid w:val="00F04C8E"/>
    <w:rsid w:val="00F05F67"/>
    <w:rsid w:val="00F06CDA"/>
    <w:rsid w:val="00F07254"/>
    <w:rsid w:val="00F075BD"/>
    <w:rsid w:val="00F0784D"/>
    <w:rsid w:val="00F11660"/>
    <w:rsid w:val="00F119C8"/>
    <w:rsid w:val="00F12A0E"/>
    <w:rsid w:val="00F12E33"/>
    <w:rsid w:val="00F13FC9"/>
    <w:rsid w:val="00F14371"/>
    <w:rsid w:val="00F14C2C"/>
    <w:rsid w:val="00F15103"/>
    <w:rsid w:val="00F15836"/>
    <w:rsid w:val="00F1599C"/>
    <w:rsid w:val="00F160F0"/>
    <w:rsid w:val="00F16527"/>
    <w:rsid w:val="00F16CD9"/>
    <w:rsid w:val="00F16E78"/>
    <w:rsid w:val="00F17D3C"/>
    <w:rsid w:val="00F20B77"/>
    <w:rsid w:val="00F20BEA"/>
    <w:rsid w:val="00F20C54"/>
    <w:rsid w:val="00F21275"/>
    <w:rsid w:val="00F21647"/>
    <w:rsid w:val="00F2176F"/>
    <w:rsid w:val="00F2196D"/>
    <w:rsid w:val="00F21B59"/>
    <w:rsid w:val="00F22034"/>
    <w:rsid w:val="00F2209B"/>
    <w:rsid w:val="00F22704"/>
    <w:rsid w:val="00F24C7A"/>
    <w:rsid w:val="00F2526B"/>
    <w:rsid w:val="00F25BFA"/>
    <w:rsid w:val="00F263F6"/>
    <w:rsid w:val="00F26F3E"/>
    <w:rsid w:val="00F272FC"/>
    <w:rsid w:val="00F27536"/>
    <w:rsid w:val="00F27B6F"/>
    <w:rsid w:val="00F30691"/>
    <w:rsid w:val="00F3219D"/>
    <w:rsid w:val="00F32F03"/>
    <w:rsid w:val="00F339D9"/>
    <w:rsid w:val="00F33DDC"/>
    <w:rsid w:val="00F347F5"/>
    <w:rsid w:val="00F34AA7"/>
    <w:rsid w:val="00F34F5B"/>
    <w:rsid w:val="00F34F7E"/>
    <w:rsid w:val="00F35374"/>
    <w:rsid w:val="00F35D0A"/>
    <w:rsid w:val="00F35D87"/>
    <w:rsid w:val="00F35DCD"/>
    <w:rsid w:val="00F3635A"/>
    <w:rsid w:val="00F36BB6"/>
    <w:rsid w:val="00F4007C"/>
    <w:rsid w:val="00F436F2"/>
    <w:rsid w:val="00F4449C"/>
    <w:rsid w:val="00F45297"/>
    <w:rsid w:val="00F46543"/>
    <w:rsid w:val="00F465F1"/>
    <w:rsid w:val="00F4668F"/>
    <w:rsid w:val="00F46850"/>
    <w:rsid w:val="00F46908"/>
    <w:rsid w:val="00F46C05"/>
    <w:rsid w:val="00F5023F"/>
    <w:rsid w:val="00F513AB"/>
    <w:rsid w:val="00F52143"/>
    <w:rsid w:val="00F52D8A"/>
    <w:rsid w:val="00F54AA9"/>
    <w:rsid w:val="00F553BE"/>
    <w:rsid w:val="00F619C0"/>
    <w:rsid w:val="00F61E7A"/>
    <w:rsid w:val="00F62C41"/>
    <w:rsid w:val="00F64159"/>
    <w:rsid w:val="00F64437"/>
    <w:rsid w:val="00F64BD5"/>
    <w:rsid w:val="00F678BC"/>
    <w:rsid w:val="00F702BB"/>
    <w:rsid w:val="00F706C0"/>
    <w:rsid w:val="00F71B2A"/>
    <w:rsid w:val="00F721C2"/>
    <w:rsid w:val="00F7283C"/>
    <w:rsid w:val="00F72C43"/>
    <w:rsid w:val="00F745D5"/>
    <w:rsid w:val="00F74CEF"/>
    <w:rsid w:val="00F76A79"/>
    <w:rsid w:val="00F76A94"/>
    <w:rsid w:val="00F801C8"/>
    <w:rsid w:val="00F839E9"/>
    <w:rsid w:val="00F85BD0"/>
    <w:rsid w:val="00F86D82"/>
    <w:rsid w:val="00F90D61"/>
    <w:rsid w:val="00F90DF9"/>
    <w:rsid w:val="00F917B4"/>
    <w:rsid w:val="00F9219A"/>
    <w:rsid w:val="00F92686"/>
    <w:rsid w:val="00F94B90"/>
    <w:rsid w:val="00FA12AA"/>
    <w:rsid w:val="00FA1B63"/>
    <w:rsid w:val="00FA216A"/>
    <w:rsid w:val="00FA361F"/>
    <w:rsid w:val="00FA4259"/>
    <w:rsid w:val="00FB1C93"/>
    <w:rsid w:val="00FB3E53"/>
    <w:rsid w:val="00FB4187"/>
    <w:rsid w:val="00FB4E23"/>
    <w:rsid w:val="00FB5865"/>
    <w:rsid w:val="00FB58B6"/>
    <w:rsid w:val="00FB6702"/>
    <w:rsid w:val="00FB6CB7"/>
    <w:rsid w:val="00FC0125"/>
    <w:rsid w:val="00FC024A"/>
    <w:rsid w:val="00FC0B4F"/>
    <w:rsid w:val="00FC2A35"/>
    <w:rsid w:val="00FC66BD"/>
    <w:rsid w:val="00FC7C2D"/>
    <w:rsid w:val="00FD07F0"/>
    <w:rsid w:val="00FD40F3"/>
    <w:rsid w:val="00FD42D8"/>
    <w:rsid w:val="00FD566D"/>
    <w:rsid w:val="00FD56E5"/>
    <w:rsid w:val="00FD68AC"/>
    <w:rsid w:val="00FE0503"/>
    <w:rsid w:val="00FE1E98"/>
    <w:rsid w:val="00FE30ED"/>
    <w:rsid w:val="00FE3412"/>
    <w:rsid w:val="00FE5B91"/>
    <w:rsid w:val="00FE5F99"/>
    <w:rsid w:val="00FE658C"/>
    <w:rsid w:val="00FE6598"/>
    <w:rsid w:val="00FE6C16"/>
    <w:rsid w:val="00FE71DB"/>
    <w:rsid w:val="00FF036F"/>
    <w:rsid w:val="00FF08A4"/>
    <w:rsid w:val="00FF1D38"/>
    <w:rsid w:val="00FF2633"/>
    <w:rsid w:val="00FF3B3C"/>
    <w:rsid w:val="00FF5992"/>
    <w:rsid w:val="00FF5FB0"/>
    <w:rsid w:val="00FF60CE"/>
    <w:rsid w:val="00FF61B3"/>
    <w:rsid w:val="00FF71F3"/>
    <w:rsid w:val="00FF728C"/>
    <w:rsid w:val="00FF7F0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link w:val="BodyTextIndent3Char"/>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
    <w:basedOn w:val="Normal"/>
    <w:link w:val="FootnoteTextChar"/>
    <w:rsid w:val="00F94B90"/>
    <w:rPr>
      <w:sz w:val="20"/>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3"/>
      </w:numPr>
      <w:spacing w:before="120" w:after="240"/>
      <w:ind w:left="0" w:firstLine="0"/>
      <w:outlineLvl w:val="1"/>
    </w:pPr>
    <w:rPr>
      <w:color w:val="00000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link w:val="ListParagraphChar"/>
    <w:autoRedefine/>
    <w:uiPriority w:val="99"/>
    <w:qFormat/>
    <w:rsid w:val="00736589"/>
    <w:pPr>
      <w:numPr>
        <w:numId w:val="41"/>
      </w:numPr>
      <w:tabs>
        <w:tab w:val="left" w:pos="144"/>
      </w:tabs>
      <w:spacing w:after="120"/>
      <w:ind w:left="144" w:hanging="144"/>
      <w:contextualSpacing/>
      <w:jc w:val="both"/>
    </w:pPr>
    <w:rPr>
      <w:noProof/>
      <w:sz w:val="20"/>
      <w:szCs w:val="20"/>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ColorfulList-Accent11">
    <w:name w:val="Colorful List - Accent 11"/>
    <w:basedOn w:val="Normal"/>
    <w:autoRedefine/>
    <w:uiPriority w:val="34"/>
    <w:qFormat/>
    <w:rsid w:val="008C1301"/>
    <w:pPr>
      <w:ind w:left="60"/>
      <w:contextualSpacing/>
    </w:pPr>
    <w:rPr>
      <w:sz w:val="22"/>
      <w:szCs w:val="18"/>
    </w:rPr>
  </w:style>
  <w:style w:type="paragraph" w:styleId="EndnoteText">
    <w:name w:val="endnote text"/>
    <w:basedOn w:val="Normal"/>
    <w:link w:val="EndnoteTextChar"/>
    <w:rsid w:val="00BE4269"/>
    <w:rPr>
      <w:sz w:val="20"/>
      <w:szCs w:val="20"/>
    </w:rPr>
  </w:style>
  <w:style w:type="character" w:customStyle="1" w:styleId="EndnoteTextChar">
    <w:name w:val="Endnote Text Char"/>
    <w:link w:val="EndnoteText"/>
    <w:rsid w:val="00BE4269"/>
    <w:rPr>
      <w:lang w:bidi="ar-SA"/>
    </w:rPr>
  </w:style>
  <w:style w:type="character" w:styleId="EndnoteReference">
    <w:name w:val="endnote reference"/>
    <w:rsid w:val="00BE4269"/>
    <w:rPr>
      <w:vertAlign w:val="superscript"/>
    </w:rPr>
  </w:style>
  <w:style w:type="character" w:customStyle="1" w:styleId="ListParagraphChar">
    <w:name w:val="List Paragraph Char"/>
    <w:link w:val="ListParagraph"/>
    <w:uiPriority w:val="99"/>
    <w:locked/>
    <w:rsid w:val="00736589"/>
    <w:rPr>
      <w:noProof/>
      <w:lang w:val="en-GB"/>
    </w:rPr>
  </w:style>
  <w:style w:type="paragraph" w:customStyle="1" w:styleId="ColorfulList-Accent12">
    <w:name w:val="Colorful List - Accent 12"/>
    <w:basedOn w:val="Normal"/>
    <w:uiPriority w:val="34"/>
    <w:qFormat/>
    <w:rsid w:val="008D68EA"/>
    <w:pPr>
      <w:ind w:left="720"/>
    </w:pPr>
  </w:style>
  <w:style w:type="character" w:customStyle="1" w:styleId="BodyTextIndent3Char">
    <w:name w:val="Body Text Indent 3 Char"/>
    <w:link w:val="BodyTextIndent3"/>
    <w:rsid w:val="008D68EA"/>
    <w:rPr>
      <w:sz w:val="24"/>
      <w:szCs w:val="24"/>
      <w:lang w:bidi="ar-SA"/>
    </w:rPr>
  </w:style>
  <w:style w:type="paragraph" w:customStyle="1" w:styleId="NumberedParasinaPIF">
    <w:name w:val="Numbered Paras in a PIF"/>
    <w:basedOn w:val="Normal"/>
    <w:link w:val="NumberedParasinaPIFChar"/>
    <w:qFormat/>
    <w:rsid w:val="008D68EA"/>
    <w:pPr>
      <w:jc w:val="both"/>
    </w:pPr>
    <w:rPr>
      <w:rFonts w:eastAsia="Calibri"/>
      <w:noProof/>
      <w:sz w:val="20"/>
      <w:szCs w:val="22"/>
    </w:rPr>
  </w:style>
  <w:style w:type="character" w:customStyle="1" w:styleId="NumberedParasinaPIFChar">
    <w:name w:val="Numbered Paras in a PIF Char"/>
    <w:link w:val="NumberedParasinaPIF"/>
    <w:rsid w:val="008D68EA"/>
    <w:rPr>
      <w:rFonts w:eastAsia="Calibri"/>
      <w:noProof/>
      <w:szCs w:val="22"/>
      <w:lang w:bidi="ar-SA"/>
    </w:rPr>
  </w:style>
  <w:style w:type="paragraph" w:styleId="NormalWeb">
    <w:name w:val="Normal (Web)"/>
    <w:basedOn w:val="Normal"/>
    <w:uiPriority w:val="99"/>
    <w:unhideWhenUsed/>
    <w:rsid w:val="00C3671F"/>
    <w:pPr>
      <w:textAlignment w:val="baseline"/>
    </w:pPr>
    <w:rPr>
      <w:rFonts w:ascii="inherit" w:hAnsi="inher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link w:val="BodyTextIndent3Char"/>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
    <w:basedOn w:val="Normal"/>
    <w:link w:val="FootnoteTextChar"/>
    <w:rsid w:val="00F94B90"/>
    <w:rPr>
      <w:sz w:val="20"/>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3"/>
      </w:numPr>
      <w:spacing w:before="120" w:after="240"/>
      <w:ind w:left="0" w:firstLine="0"/>
      <w:outlineLvl w:val="1"/>
    </w:pPr>
    <w:rPr>
      <w:color w:val="00000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link w:val="ListParagraphChar"/>
    <w:autoRedefine/>
    <w:uiPriority w:val="99"/>
    <w:qFormat/>
    <w:rsid w:val="00736589"/>
    <w:pPr>
      <w:numPr>
        <w:numId w:val="41"/>
      </w:numPr>
      <w:tabs>
        <w:tab w:val="left" w:pos="144"/>
      </w:tabs>
      <w:spacing w:after="120"/>
      <w:ind w:left="144" w:hanging="144"/>
      <w:contextualSpacing/>
      <w:jc w:val="both"/>
    </w:pPr>
    <w:rPr>
      <w:noProof/>
      <w:sz w:val="20"/>
      <w:szCs w:val="20"/>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ColorfulList-Accent11">
    <w:name w:val="Colorful List - Accent 11"/>
    <w:basedOn w:val="Normal"/>
    <w:autoRedefine/>
    <w:uiPriority w:val="34"/>
    <w:qFormat/>
    <w:rsid w:val="008C1301"/>
    <w:pPr>
      <w:ind w:left="60"/>
      <w:contextualSpacing/>
    </w:pPr>
    <w:rPr>
      <w:sz w:val="22"/>
      <w:szCs w:val="18"/>
    </w:rPr>
  </w:style>
  <w:style w:type="paragraph" w:styleId="EndnoteText">
    <w:name w:val="endnote text"/>
    <w:basedOn w:val="Normal"/>
    <w:link w:val="EndnoteTextChar"/>
    <w:rsid w:val="00BE4269"/>
    <w:rPr>
      <w:sz w:val="20"/>
      <w:szCs w:val="20"/>
    </w:rPr>
  </w:style>
  <w:style w:type="character" w:customStyle="1" w:styleId="EndnoteTextChar">
    <w:name w:val="Endnote Text Char"/>
    <w:link w:val="EndnoteText"/>
    <w:rsid w:val="00BE4269"/>
    <w:rPr>
      <w:lang w:bidi="ar-SA"/>
    </w:rPr>
  </w:style>
  <w:style w:type="character" w:styleId="EndnoteReference">
    <w:name w:val="endnote reference"/>
    <w:rsid w:val="00BE4269"/>
    <w:rPr>
      <w:vertAlign w:val="superscript"/>
    </w:rPr>
  </w:style>
  <w:style w:type="character" w:customStyle="1" w:styleId="ListParagraphChar">
    <w:name w:val="List Paragraph Char"/>
    <w:link w:val="ListParagraph"/>
    <w:uiPriority w:val="99"/>
    <w:locked/>
    <w:rsid w:val="00736589"/>
    <w:rPr>
      <w:noProof/>
      <w:lang w:val="en-GB"/>
    </w:rPr>
  </w:style>
  <w:style w:type="paragraph" w:customStyle="1" w:styleId="ColorfulList-Accent12">
    <w:name w:val="Colorful List - Accent 12"/>
    <w:basedOn w:val="Normal"/>
    <w:uiPriority w:val="34"/>
    <w:qFormat/>
    <w:rsid w:val="008D68EA"/>
    <w:pPr>
      <w:ind w:left="720"/>
    </w:pPr>
  </w:style>
  <w:style w:type="character" w:customStyle="1" w:styleId="BodyTextIndent3Char">
    <w:name w:val="Body Text Indent 3 Char"/>
    <w:link w:val="BodyTextIndent3"/>
    <w:rsid w:val="008D68EA"/>
    <w:rPr>
      <w:sz w:val="24"/>
      <w:szCs w:val="24"/>
      <w:lang w:bidi="ar-SA"/>
    </w:rPr>
  </w:style>
  <w:style w:type="paragraph" w:customStyle="1" w:styleId="NumberedParasinaPIF">
    <w:name w:val="Numbered Paras in a PIF"/>
    <w:basedOn w:val="Normal"/>
    <w:link w:val="NumberedParasinaPIFChar"/>
    <w:qFormat/>
    <w:rsid w:val="008D68EA"/>
    <w:pPr>
      <w:jc w:val="both"/>
    </w:pPr>
    <w:rPr>
      <w:rFonts w:eastAsia="Calibri"/>
      <w:noProof/>
      <w:sz w:val="20"/>
      <w:szCs w:val="22"/>
    </w:rPr>
  </w:style>
  <w:style w:type="character" w:customStyle="1" w:styleId="NumberedParasinaPIFChar">
    <w:name w:val="Numbered Paras in a PIF Char"/>
    <w:link w:val="NumberedParasinaPIF"/>
    <w:rsid w:val="008D68EA"/>
    <w:rPr>
      <w:rFonts w:eastAsia="Calibri"/>
      <w:noProof/>
      <w:szCs w:val="22"/>
      <w:lang w:bidi="ar-SA"/>
    </w:rPr>
  </w:style>
  <w:style w:type="paragraph" w:styleId="NormalWeb">
    <w:name w:val="Normal (Web)"/>
    <w:basedOn w:val="Normal"/>
    <w:uiPriority w:val="99"/>
    <w:unhideWhenUsed/>
    <w:rsid w:val="00C3671F"/>
    <w:pPr>
      <w:textAlignment w:val="baseline"/>
    </w:pPr>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977">
      <w:bodyDiv w:val="1"/>
      <w:marLeft w:val="0"/>
      <w:marRight w:val="0"/>
      <w:marTop w:val="0"/>
      <w:marBottom w:val="0"/>
      <w:divBdr>
        <w:top w:val="none" w:sz="0" w:space="0" w:color="auto"/>
        <w:left w:val="none" w:sz="0" w:space="0" w:color="auto"/>
        <w:bottom w:val="none" w:sz="0" w:space="0" w:color="auto"/>
        <w:right w:val="none" w:sz="0" w:space="0" w:color="auto"/>
      </w:divBdr>
    </w:div>
    <w:div w:id="107431744">
      <w:bodyDiv w:val="1"/>
      <w:marLeft w:val="0"/>
      <w:marRight w:val="0"/>
      <w:marTop w:val="0"/>
      <w:marBottom w:val="0"/>
      <w:divBdr>
        <w:top w:val="none" w:sz="0" w:space="0" w:color="auto"/>
        <w:left w:val="none" w:sz="0" w:space="0" w:color="auto"/>
        <w:bottom w:val="none" w:sz="0" w:space="0" w:color="auto"/>
        <w:right w:val="none" w:sz="0" w:space="0" w:color="auto"/>
      </w:divBdr>
    </w:div>
    <w:div w:id="126512346">
      <w:bodyDiv w:val="1"/>
      <w:marLeft w:val="0"/>
      <w:marRight w:val="0"/>
      <w:marTop w:val="0"/>
      <w:marBottom w:val="0"/>
      <w:divBdr>
        <w:top w:val="none" w:sz="0" w:space="0" w:color="auto"/>
        <w:left w:val="none" w:sz="0" w:space="0" w:color="auto"/>
        <w:bottom w:val="none" w:sz="0" w:space="0" w:color="auto"/>
        <w:right w:val="none" w:sz="0" w:space="0" w:color="auto"/>
      </w:divBdr>
    </w:div>
    <w:div w:id="134446153">
      <w:bodyDiv w:val="1"/>
      <w:marLeft w:val="0"/>
      <w:marRight w:val="0"/>
      <w:marTop w:val="0"/>
      <w:marBottom w:val="0"/>
      <w:divBdr>
        <w:top w:val="none" w:sz="0" w:space="0" w:color="auto"/>
        <w:left w:val="none" w:sz="0" w:space="0" w:color="auto"/>
        <w:bottom w:val="none" w:sz="0" w:space="0" w:color="auto"/>
        <w:right w:val="none" w:sz="0" w:space="0" w:color="auto"/>
      </w:divBdr>
    </w:div>
    <w:div w:id="147286898">
      <w:bodyDiv w:val="1"/>
      <w:marLeft w:val="0"/>
      <w:marRight w:val="0"/>
      <w:marTop w:val="0"/>
      <w:marBottom w:val="0"/>
      <w:divBdr>
        <w:top w:val="none" w:sz="0" w:space="0" w:color="auto"/>
        <w:left w:val="none" w:sz="0" w:space="0" w:color="auto"/>
        <w:bottom w:val="none" w:sz="0" w:space="0" w:color="auto"/>
        <w:right w:val="none" w:sz="0" w:space="0" w:color="auto"/>
      </w:divBdr>
    </w:div>
    <w:div w:id="149367937">
      <w:bodyDiv w:val="1"/>
      <w:marLeft w:val="0"/>
      <w:marRight w:val="0"/>
      <w:marTop w:val="0"/>
      <w:marBottom w:val="0"/>
      <w:divBdr>
        <w:top w:val="none" w:sz="0" w:space="0" w:color="auto"/>
        <w:left w:val="none" w:sz="0" w:space="0" w:color="auto"/>
        <w:bottom w:val="none" w:sz="0" w:space="0" w:color="auto"/>
        <w:right w:val="none" w:sz="0" w:space="0" w:color="auto"/>
      </w:divBdr>
    </w:div>
    <w:div w:id="180046880">
      <w:bodyDiv w:val="1"/>
      <w:marLeft w:val="0"/>
      <w:marRight w:val="0"/>
      <w:marTop w:val="0"/>
      <w:marBottom w:val="0"/>
      <w:divBdr>
        <w:top w:val="none" w:sz="0" w:space="0" w:color="auto"/>
        <w:left w:val="none" w:sz="0" w:space="0" w:color="auto"/>
        <w:bottom w:val="none" w:sz="0" w:space="0" w:color="auto"/>
        <w:right w:val="none" w:sz="0" w:space="0" w:color="auto"/>
      </w:divBdr>
    </w:div>
    <w:div w:id="229581058">
      <w:bodyDiv w:val="1"/>
      <w:marLeft w:val="0"/>
      <w:marRight w:val="0"/>
      <w:marTop w:val="0"/>
      <w:marBottom w:val="0"/>
      <w:divBdr>
        <w:top w:val="none" w:sz="0" w:space="0" w:color="auto"/>
        <w:left w:val="none" w:sz="0" w:space="0" w:color="auto"/>
        <w:bottom w:val="none" w:sz="0" w:space="0" w:color="auto"/>
        <w:right w:val="none" w:sz="0" w:space="0" w:color="auto"/>
      </w:divBdr>
    </w:div>
    <w:div w:id="244724475">
      <w:bodyDiv w:val="1"/>
      <w:marLeft w:val="0"/>
      <w:marRight w:val="0"/>
      <w:marTop w:val="0"/>
      <w:marBottom w:val="0"/>
      <w:divBdr>
        <w:top w:val="none" w:sz="0" w:space="0" w:color="auto"/>
        <w:left w:val="none" w:sz="0" w:space="0" w:color="auto"/>
        <w:bottom w:val="none" w:sz="0" w:space="0" w:color="auto"/>
        <w:right w:val="none" w:sz="0" w:space="0" w:color="auto"/>
      </w:divBdr>
    </w:div>
    <w:div w:id="261769921">
      <w:bodyDiv w:val="1"/>
      <w:marLeft w:val="0"/>
      <w:marRight w:val="0"/>
      <w:marTop w:val="0"/>
      <w:marBottom w:val="0"/>
      <w:divBdr>
        <w:top w:val="none" w:sz="0" w:space="0" w:color="auto"/>
        <w:left w:val="none" w:sz="0" w:space="0" w:color="auto"/>
        <w:bottom w:val="none" w:sz="0" w:space="0" w:color="auto"/>
        <w:right w:val="none" w:sz="0" w:space="0" w:color="auto"/>
      </w:divBdr>
    </w:div>
    <w:div w:id="280847181">
      <w:bodyDiv w:val="1"/>
      <w:marLeft w:val="0"/>
      <w:marRight w:val="0"/>
      <w:marTop w:val="0"/>
      <w:marBottom w:val="0"/>
      <w:divBdr>
        <w:top w:val="none" w:sz="0" w:space="0" w:color="auto"/>
        <w:left w:val="none" w:sz="0" w:space="0" w:color="auto"/>
        <w:bottom w:val="none" w:sz="0" w:space="0" w:color="auto"/>
        <w:right w:val="none" w:sz="0" w:space="0" w:color="auto"/>
      </w:divBdr>
    </w:div>
    <w:div w:id="329065170">
      <w:bodyDiv w:val="1"/>
      <w:marLeft w:val="0"/>
      <w:marRight w:val="0"/>
      <w:marTop w:val="0"/>
      <w:marBottom w:val="0"/>
      <w:divBdr>
        <w:top w:val="none" w:sz="0" w:space="0" w:color="auto"/>
        <w:left w:val="none" w:sz="0" w:space="0" w:color="auto"/>
        <w:bottom w:val="none" w:sz="0" w:space="0" w:color="auto"/>
        <w:right w:val="none" w:sz="0" w:space="0" w:color="auto"/>
      </w:divBdr>
    </w:div>
    <w:div w:id="331182856">
      <w:bodyDiv w:val="1"/>
      <w:marLeft w:val="0"/>
      <w:marRight w:val="0"/>
      <w:marTop w:val="0"/>
      <w:marBottom w:val="0"/>
      <w:divBdr>
        <w:top w:val="none" w:sz="0" w:space="0" w:color="auto"/>
        <w:left w:val="none" w:sz="0" w:space="0" w:color="auto"/>
        <w:bottom w:val="none" w:sz="0" w:space="0" w:color="auto"/>
        <w:right w:val="none" w:sz="0" w:space="0" w:color="auto"/>
      </w:divBdr>
    </w:div>
    <w:div w:id="401102574">
      <w:bodyDiv w:val="1"/>
      <w:marLeft w:val="0"/>
      <w:marRight w:val="0"/>
      <w:marTop w:val="0"/>
      <w:marBottom w:val="0"/>
      <w:divBdr>
        <w:top w:val="none" w:sz="0" w:space="0" w:color="auto"/>
        <w:left w:val="none" w:sz="0" w:space="0" w:color="auto"/>
        <w:bottom w:val="none" w:sz="0" w:space="0" w:color="auto"/>
        <w:right w:val="none" w:sz="0" w:space="0" w:color="auto"/>
      </w:divBdr>
    </w:div>
    <w:div w:id="429201951">
      <w:bodyDiv w:val="1"/>
      <w:marLeft w:val="0"/>
      <w:marRight w:val="0"/>
      <w:marTop w:val="0"/>
      <w:marBottom w:val="0"/>
      <w:divBdr>
        <w:top w:val="none" w:sz="0" w:space="0" w:color="auto"/>
        <w:left w:val="none" w:sz="0" w:space="0" w:color="auto"/>
        <w:bottom w:val="none" w:sz="0" w:space="0" w:color="auto"/>
        <w:right w:val="none" w:sz="0" w:space="0" w:color="auto"/>
      </w:divBdr>
    </w:div>
    <w:div w:id="429400252">
      <w:bodyDiv w:val="1"/>
      <w:marLeft w:val="0"/>
      <w:marRight w:val="0"/>
      <w:marTop w:val="0"/>
      <w:marBottom w:val="0"/>
      <w:divBdr>
        <w:top w:val="none" w:sz="0" w:space="0" w:color="auto"/>
        <w:left w:val="none" w:sz="0" w:space="0" w:color="auto"/>
        <w:bottom w:val="none" w:sz="0" w:space="0" w:color="auto"/>
        <w:right w:val="none" w:sz="0" w:space="0" w:color="auto"/>
      </w:divBdr>
    </w:div>
    <w:div w:id="472911318">
      <w:bodyDiv w:val="1"/>
      <w:marLeft w:val="0"/>
      <w:marRight w:val="0"/>
      <w:marTop w:val="0"/>
      <w:marBottom w:val="0"/>
      <w:divBdr>
        <w:top w:val="none" w:sz="0" w:space="0" w:color="auto"/>
        <w:left w:val="none" w:sz="0" w:space="0" w:color="auto"/>
        <w:bottom w:val="none" w:sz="0" w:space="0" w:color="auto"/>
        <w:right w:val="none" w:sz="0" w:space="0" w:color="auto"/>
      </w:divBdr>
    </w:div>
    <w:div w:id="500894906">
      <w:bodyDiv w:val="1"/>
      <w:marLeft w:val="0"/>
      <w:marRight w:val="0"/>
      <w:marTop w:val="0"/>
      <w:marBottom w:val="0"/>
      <w:divBdr>
        <w:top w:val="none" w:sz="0" w:space="0" w:color="auto"/>
        <w:left w:val="none" w:sz="0" w:space="0" w:color="auto"/>
        <w:bottom w:val="none" w:sz="0" w:space="0" w:color="auto"/>
        <w:right w:val="none" w:sz="0" w:space="0" w:color="auto"/>
      </w:divBdr>
    </w:div>
    <w:div w:id="546917589">
      <w:bodyDiv w:val="1"/>
      <w:marLeft w:val="0"/>
      <w:marRight w:val="0"/>
      <w:marTop w:val="0"/>
      <w:marBottom w:val="0"/>
      <w:divBdr>
        <w:top w:val="none" w:sz="0" w:space="0" w:color="auto"/>
        <w:left w:val="none" w:sz="0" w:space="0" w:color="auto"/>
        <w:bottom w:val="none" w:sz="0" w:space="0" w:color="auto"/>
        <w:right w:val="none" w:sz="0" w:space="0" w:color="auto"/>
      </w:divBdr>
    </w:div>
    <w:div w:id="618269239">
      <w:bodyDiv w:val="1"/>
      <w:marLeft w:val="0"/>
      <w:marRight w:val="0"/>
      <w:marTop w:val="0"/>
      <w:marBottom w:val="0"/>
      <w:divBdr>
        <w:top w:val="none" w:sz="0" w:space="0" w:color="auto"/>
        <w:left w:val="none" w:sz="0" w:space="0" w:color="auto"/>
        <w:bottom w:val="none" w:sz="0" w:space="0" w:color="auto"/>
        <w:right w:val="none" w:sz="0" w:space="0" w:color="auto"/>
      </w:divBdr>
    </w:div>
    <w:div w:id="765612506">
      <w:bodyDiv w:val="1"/>
      <w:marLeft w:val="0"/>
      <w:marRight w:val="0"/>
      <w:marTop w:val="0"/>
      <w:marBottom w:val="0"/>
      <w:divBdr>
        <w:top w:val="none" w:sz="0" w:space="0" w:color="auto"/>
        <w:left w:val="none" w:sz="0" w:space="0" w:color="auto"/>
        <w:bottom w:val="none" w:sz="0" w:space="0" w:color="auto"/>
        <w:right w:val="none" w:sz="0" w:space="0" w:color="auto"/>
      </w:divBdr>
    </w:div>
    <w:div w:id="840781787">
      <w:bodyDiv w:val="1"/>
      <w:marLeft w:val="0"/>
      <w:marRight w:val="0"/>
      <w:marTop w:val="0"/>
      <w:marBottom w:val="0"/>
      <w:divBdr>
        <w:top w:val="none" w:sz="0" w:space="0" w:color="auto"/>
        <w:left w:val="none" w:sz="0" w:space="0" w:color="auto"/>
        <w:bottom w:val="none" w:sz="0" w:space="0" w:color="auto"/>
        <w:right w:val="none" w:sz="0" w:space="0" w:color="auto"/>
      </w:divBdr>
    </w:div>
    <w:div w:id="870535871">
      <w:bodyDiv w:val="1"/>
      <w:marLeft w:val="0"/>
      <w:marRight w:val="0"/>
      <w:marTop w:val="0"/>
      <w:marBottom w:val="0"/>
      <w:divBdr>
        <w:top w:val="none" w:sz="0" w:space="0" w:color="auto"/>
        <w:left w:val="none" w:sz="0" w:space="0" w:color="auto"/>
        <w:bottom w:val="none" w:sz="0" w:space="0" w:color="auto"/>
        <w:right w:val="none" w:sz="0" w:space="0" w:color="auto"/>
      </w:divBdr>
    </w:div>
    <w:div w:id="875045994">
      <w:bodyDiv w:val="1"/>
      <w:marLeft w:val="0"/>
      <w:marRight w:val="0"/>
      <w:marTop w:val="0"/>
      <w:marBottom w:val="0"/>
      <w:divBdr>
        <w:top w:val="none" w:sz="0" w:space="0" w:color="auto"/>
        <w:left w:val="none" w:sz="0" w:space="0" w:color="auto"/>
        <w:bottom w:val="none" w:sz="0" w:space="0" w:color="auto"/>
        <w:right w:val="none" w:sz="0" w:space="0" w:color="auto"/>
      </w:divBdr>
    </w:div>
    <w:div w:id="893471446">
      <w:bodyDiv w:val="1"/>
      <w:marLeft w:val="0"/>
      <w:marRight w:val="0"/>
      <w:marTop w:val="0"/>
      <w:marBottom w:val="0"/>
      <w:divBdr>
        <w:top w:val="none" w:sz="0" w:space="0" w:color="auto"/>
        <w:left w:val="none" w:sz="0" w:space="0" w:color="auto"/>
        <w:bottom w:val="none" w:sz="0" w:space="0" w:color="auto"/>
        <w:right w:val="none" w:sz="0" w:space="0" w:color="auto"/>
      </w:divBdr>
    </w:div>
    <w:div w:id="920792303">
      <w:bodyDiv w:val="1"/>
      <w:marLeft w:val="0"/>
      <w:marRight w:val="0"/>
      <w:marTop w:val="0"/>
      <w:marBottom w:val="0"/>
      <w:divBdr>
        <w:top w:val="none" w:sz="0" w:space="0" w:color="auto"/>
        <w:left w:val="none" w:sz="0" w:space="0" w:color="auto"/>
        <w:bottom w:val="none" w:sz="0" w:space="0" w:color="auto"/>
        <w:right w:val="none" w:sz="0" w:space="0" w:color="auto"/>
      </w:divBdr>
    </w:div>
    <w:div w:id="959068135">
      <w:bodyDiv w:val="1"/>
      <w:marLeft w:val="0"/>
      <w:marRight w:val="0"/>
      <w:marTop w:val="0"/>
      <w:marBottom w:val="0"/>
      <w:divBdr>
        <w:top w:val="none" w:sz="0" w:space="0" w:color="auto"/>
        <w:left w:val="none" w:sz="0" w:space="0" w:color="auto"/>
        <w:bottom w:val="none" w:sz="0" w:space="0" w:color="auto"/>
        <w:right w:val="none" w:sz="0" w:space="0" w:color="auto"/>
      </w:divBdr>
    </w:div>
    <w:div w:id="1002046702">
      <w:bodyDiv w:val="1"/>
      <w:marLeft w:val="0"/>
      <w:marRight w:val="0"/>
      <w:marTop w:val="0"/>
      <w:marBottom w:val="0"/>
      <w:divBdr>
        <w:top w:val="none" w:sz="0" w:space="0" w:color="auto"/>
        <w:left w:val="none" w:sz="0" w:space="0" w:color="auto"/>
        <w:bottom w:val="none" w:sz="0" w:space="0" w:color="auto"/>
        <w:right w:val="none" w:sz="0" w:space="0" w:color="auto"/>
      </w:divBdr>
    </w:div>
    <w:div w:id="1043138469">
      <w:bodyDiv w:val="1"/>
      <w:marLeft w:val="0"/>
      <w:marRight w:val="0"/>
      <w:marTop w:val="0"/>
      <w:marBottom w:val="0"/>
      <w:divBdr>
        <w:top w:val="none" w:sz="0" w:space="0" w:color="auto"/>
        <w:left w:val="none" w:sz="0" w:space="0" w:color="auto"/>
        <w:bottom w:val="none" w:sz="0" w:space="0" w:color="auto"/>
        <w:right w:val="none" w:sz="0" w:space="0" w:color="auto"/>
      </w:divBdr>
    </w:div>
    <w:div w:id="1047945947">
      <w:bodyDiv w:val="1"/>
      <w:marLeft w:val="0"/>
      <w:marRight w:val="0"/>
      <w:marTop w:val="0"/>
      <w:marBottom w:val="0"/>
      <w:divBdr>
        <w:top w:val="none" w:sz="0" w:space="0" w:color="auto"/>
        <w:left w:val="none" w:sz="0" w:space="0" w:color="auto"/>
        <w:bottom w:val="none" w:sz="0" w:space="0" w:color="auto"/>
        <w:right w:val="none" w:sz="0" w:space="0" w:color="auto"/>
      </w:divBdr>
    </w:div>
    <w:div w:id="1076056601">
      <w:bodyDiv w:val="1"/>
      <w:marLeft w:val="0"/>
      <w:marRight w:val="0"/>
      <w:marTop w:val="0"/>
      <w:marBottom w:val="0"/>
      <w:divBdr>
        <w:top w:val="none" w:sz="0" w:space="0" w:color="auto"/>
        <w:left w:val="none" w:sz="0" w:space="0" w:color="auto"/>
        <w:bottom w:val="none" w:sz="0" w:space="0" w:color="auto"/>
        <w:right w:val="none" w:sz="0" w:space="0" w:color="auto"/>
      </w:divBdr>
    </w:div>
    <w:div w:id="1137648352">
      <w:bodyDiv w:val="1"/>
      <w:marLeft w:val="0"/>
      <w:marRight w:val="0"/>
      <w:marTop w:val="0"/>
      <w:marBottom w:val="0"/>
      <w:divBdr>
        <w:top w:val="none" w:sz="0" w:space="0" w:color="auto"/>
        <w:left w:val="none" w:sz="0" w:space="0" w:color="auto"/>
        <w:bottom w:val="none" w:sz="0" w:space="0" w:color="auto"/>
        <w:right w:val="none" w:sz="0" w:space="0" w:color="auto"/>
      </w:divBdr>
    </w:div>
    <w:div w:id="1197888587">
      <w:bodyDiv w:val="1"/>
      <w:marLeft w:val="0"/>
      <w:marRight w:val="0"/>
      <w:marTop w:val="0"/>
      <w:marBottom w:val="0"/>
      <w:divBdr>
        <w:top w:val="none" w:sz="0" w:space="0" w:color="auto"/>
        <w:left w:val="none" w:sz="0" w:space="0" w:color="auto"/>
        <w:bottom w:val="none" w:sz="0" w:space="0" w:color="auto"/>
        <w:right w:val="none" w:sz="0" w:space="0" w:color="auto"/>
      </w:divBdr>
    </w:div>
    <w:div w:id="1231498363">
      <w:bodyDiv w:val="1"/>
      <w:marLeft w:val="0"/>
      <w:marRight w:val="0"/>
      <w:marTop w:val="0"/>
      <w:marBottom w:val="0"/>
      <w:divBdr>
        <w:top w:val="none" w:sz="0" w:space="0" w:color="auto"/>
        <w:left w:val="none" w:sz="0" w:space="0" w:color="auto"/>
        <w:bottom w:val="none" w:sz="0" w:space="0" w:color="auto"/>
        <w:right w:val="none" w:sz="0" w:space="0" w:color="auto"/>
      </w:divBdr>
    </w:div>
    <w:div w:id="1240749898">
      <w:bodyDiv w:val="1"/>
      <w:marLeft w:val="0"/>
      <w:marRight w:val="0"/>
      <w:marTop w:val="0"/>
      <w:marBottom w:val="0"/>
      <w:divBdr>
        <w:top w:val="none" w:sz="0" w:space="0" w:color="auto"/>
        <w:left w:val="none" w:sz="0" w:space="0" w:color="auto"/>
        <w:bottom w:val="none" w:sz="0" w:space="0" w:color="auto"/>
        <w:right w:val="none" w:sz="0" w:space="0" w:color="auto"/>
      </w:divBdr>
    </w:div>
    <w:div w:id="1263103478">
      <w:bodyDiv w:val="1"/>
      <w:marLeft w:val="0"/>
      <w:marRight w:val="0"/>
      <w:marTop w:val="0"/>
      <w:marBottom w:val="0"/>
      <w:divBdr>
        <w:top w:val="none" w:sz="0" w:space="0" w:color="auto"/>
        <w:left w:val="none" w:sz="0" w:space="0" w:color="auto"/>
        <w:bottom w:val="none" w:sz="0" w:space="0" w:color="auto"/>
        <w:right w:val="none" w:sz="0" w:space="0" w:color="auto"/>
      </w:divBdr>
      <w:divsChild>
        <w:div w:id="902718680">
          <w:marLeft w:val="720"/>
          <w:marRight w:val="0"/>
          <w:marTop w:val="96"/>
          <w:marBottom w:val="0"/>
          <w:divBdr>
            <w:top w:val="none" w:sz="0" w:space="0" w:color="auto"/>
            <w:left w:val="none" w:sz="0" w:space="0" w:color="auto"/>
            <w:bottom w:val="none" w:sz="0" w:space="0" w:color="auto"/>
            <w:right w:val="none" w:sz="0" w:space="0" w:color="auto"/>
          </w:divBdr>
        </w:div>
      </w:divsChild>
    </w:div>
    <w:div w:id="1307198377">
      <w:bodyDiv w:val="1"/>
      <w:marLeft w:val="0"/>
      <w:marRight w:val="0"/>
      <w:marTop w:val="0"/>
      <w:marBottom w:val="0"/>
      <w:divBdr>
        <w:top w:val="none" w:sz="0" w:space="0" w:color="auto"/>
        <w:left w:val="none" w:sz="0" w:space="0" w:color="auto"/>
        <w:bottom w:val="none" w:sz="0" w:space="0" w:color="auto"/>
        <w:right w:val="none" w:sz="0" w:space="0" w:color="auto"/>
      </w:divBdr>
    </w:div>
    <w:div w:id="1317414162">
      <w:bodyDiv w:val="1"/>
      <w:marLeft w:val="0"/>
      <w:marRight w:val="0"/>
      <w:marTop w:val="0"/>
      <w:marBottom w:val="0"/>
      <w:divBdr>
        <w:top w:val="none" w:sz="0" w:space="0" w:color="auto"/>
        <w:left w:val="none" w:sz="0" w:space="0" w:color="auto"/>
        <w:bottom w:val="none" w:sz="0" w:space="0" w:color="auto"/>
        <w:right w:val="none" w:sz="0" w:space="0" w:color="auto"/>
      </w:divBdr>
    </w:div>
    <w:div w:id="1343816450">
      <w:bodyDiv w:val="1"/>
      <w:marLeft w:val="0"/>
      <w:marRight w:val="0"/>
      <w:marTop w:val="0"/>
      <w:marBottom w:val="0"/>
      <w:divBdr>
        <w:top w:val="none" w:sz="0" w:space="0" w:color="auto"/>
        <w:left w:val="none" w:sz="0" w:space="0" w:color="auto"/>
        <w:bottom w:val="none" w:sz="0" w:space="0" w:color="auto"/>
        <w:right w:val="none" w:sz="0" w:space="0" w:color="auto"/>
      </w:divBdr>
    </w:div>
    <w:div w:id="1372800196">
      <w:bodyDiv w:val="1"/>
      <w:marLeft w:val="0"/>
      <w:marRight w:val="0"/>
      <w:marTop w:val="0"/>
      <w:marBottom w:val="0"/>
      <w:divBdr>
        <w:top w:val="none" w:sz="0" w:space="0" w:color="auto"/>
        <w:left w:val="none" w:sz="0" w:space="0" w:color="auto"/>
        <w:bottom w:val="none" w:sz="0" w:space="0" w:color="auto"/>
        <w:right w:val="none" w:sz="0" w:space="0" w:color="auto"/>
      </w:divBdr>
    </w:div>
    <w:div w:id="1392850475">
      <w:bodyDiv w:val="1"/>
      <w:marLeft w:val="0"/>
      <w:marRight w:val="0"/>
      <w:marTop w:val="0"/>
      <w:marBottom w:val="0"/>
      <w:divBdr>
        <w:top w:val="none" w:sz="0" w:space="0" w:color="auto"/>
        <w:left w:val="none" w:sz="0" w:space="0" w:color="auto"/>
        <w:bottom w:val="none" w:sz="0" w:space="0" w:color="auto"/>
        <w:right w:val="none" w:sz="0" w:space="0" w:color="auto"/>
      </w:divBdr>
    </w:div>
    <w:div w:id="1408376844">
      <w:bodyDiv w:val="1"/>
      <w:marLeft w:val="0"/>
      <w:marRight w:val="0"/>
      <w:marTop w:val="0"/>
      <w:marBottom w:val="0"/>
      <w:divBdr>
        <w:top w:val="none" w:sz="0" w:space="0" w:color="auto"/>
        <w:left w:val="none" w:sz="0" w:space="0" w:color="auto"/>
        <w:bottom w:val="none" w:sz="0" w:space="0" w:color="auto"/>
        <w:right w:val="none" w:sz="0" w:space="0" w:color="auto"/>
      </w:divBdr>
    </w:div>
    <w:div w:id="1420641173">
      <w:bodyDiv w:val="1"/>
      <w:marLeft w:val="0"/>
      <w:marRight w:val="0"/>
      <w:marTop w:val="0"/>
      <w:marBottom w:val="0"/>
      <w:divBdr>
        <w:top w:val="none" w:sz="0" w:space="0" w:color="auto"/>
        <w:left w:val="none" w:sz="0" w:space="0" w:color="auto"/>
        <w:bottom w:val="none" w:sz="0" w:space="0" w:color="auto"/>
        <w:right w:val="none" w:sz="0" w:space="0" w:color="auto"/>
      </w:divBdr>
    </w:div>
    <w:div w:id="1441953309">
      <w:bodyDiv w:val="1"/>
      <w:marLeft w:val="0"/>
      <w:marRight w:val="0"/>
      <w:marTop w:val="0"/>
      <w:marBottom w:val="0"/>
      <w:divBdr>
        <w:top w:val="none" w:sz="0" w:space="0" w:color="auto"/>
        <w:left w:val="none" w:sz="0" w:space="0" w:color="auto"/>
        <w:bottom w:val="none" w:sz="0" w:space="0" w:color="auto"/>
        <w:right w:val="none" w:sz="0" w:space="0" w:color="auto"/>
      </w:divBdr>
    </w:div>
    <w:div w:id="1486970888">
      <w:bodyDiv w:val="1"/>
      <w:marLeft w:val="0"/>
      <w:marRight w:val="0"/>
      <w:marTop w:val="0"/>
      <w:marBottom w:val="0"/>
      <w:divBdr>
        <w:top w:val="none" w:sz="0" w:space="0" w:color="auto"/>
        <w:left w:val="none" w:sz="0" w:space="0" w:color="auto"/>
        <w:bottom w:val="none" w:sz="0" w:space="0" w:color="auto"/>
        <w:right w:val="none" w:sz="0" w:space="0" w:color="auto"/>
      </w:divBdr>
    </w:div>
    <w:div w:id="1495294205">
      <w:bodyDiv w:val="1"/>
      <w:marLeft w:val="0"/>
      <w:marRight w:val="0"/>
      <w:marTop w:val="0"/>
      <w:marBottom w:val="0"/>
      <w:divBdr>
        <w:top w:val="none" w:sz="0" w:space="0" w:color="auto"/>
        <w:left w:val="none" w:sz="0" w:space="0" w:color="auto"/>
        <w:bottom w:val="none" w:sz="0" w:space="0" w:color="auto"/>
        <w:right w:val="none" w:sz="0" w:space="0" w:color="auto"/>
      </w:divBdr>
    </w:div>
    <w:div w:id="1499423902">
      <w:bodyDiv w:val="1"/>
      <w:marLeft w:val="0"/>
      <w:marRight w:val="0"/>
      <w:marTop w:val="0"/>
      <w:marBottom w:val="0"/>
      <w:divBdr>
        <w:top w:val="none" w:sz="0" w:space="0" w:color="auto"/>
        <w:left w:val="none" w:sz="0" w:space="0" w:color="auto"/>
        <w:bottom w:val="none" w:sz="0" w:space="0" w:color="auto"/>
        <w:right w:val="none" w:sz="0" w:space="0" w:color="auto"/>
      </w:divBdr>
    </w:div>
    <w:div w:id="1542741315">
      <w:bodyDiv w:val="1"/>
      <w:marLeft w:val="0"/>
      <w:marRight w:val="0"/>
      <w:marTop w:val="0"/>
      <w:marBottom w:val="0"/>
      <w:divBdr>
        <w:top w:val="none" w:sz="0" w:space="0" w:color="auto"/>
        <w:left w:val="none" w:sz="0" w:space="0" w:color="auto"/>
        <w:bottom w:val="none" w:sz="0" w:space="0" w:color="auto"/>
        <w:right w:val="none" w:sz="0" w:space="0" w:color="auto"/>
      </w:divBdr>
    </w:div>
    <w:div w:id="1576283634">
      <w:bodyDiv w:val="1"/>
      <w:marLeft w:val="0"/>
      <w:marRight w:val="0"/>
      <w:marTop w:val="0"/>
      <w:marBottom w:val="0"/>
      <w:divBdr>
        <w:top w:val="none" w:sz="0" w:space="0" w:color="auto"/>
        <w:left w:val="none" w:sz="0" w:space="0" w:color="auto"/>
        <w:bottom w:val="none" w:sz="0" w:space="0" w:color="auto"/>
        <w:right w:val="none" w:sz="0" w:space="0" w:color="auto"/>
      </w:divBdr>
    </w:div>
    <w:div w:id="1672640901">
      <w:bodyDiv w:val="1"/>
      <w:marLeft w:val="0"/>
      <w:marRight w:val="0"/>
      <w:marTop w:val="0"/>
      <w:marBottom w:val="0"/>
      <w:divBdr>
        <w:top w:val="none" w:sz="0" w:space="0" w:color="auto"/>
        <w:left w:val="none" w:sz="0" w:space="0" w:color="auto"/>
        <w:bottom w:val="none" w:sz="0" w:space="0" w:color="auto"/>
        <w:right w:val="none" w:sz="0" w:space="0" w:color="auto"/>
      </w:divBdr>
    </w:div>
    <w:div w:id="1679193550">
      <w:bodyDiv w:val="1"/>
      <w:marLeft w:val="0"/>
      <w:marRight w:val="0"/>
      <w:marTop w:val="0"/>
      <w:marBottom w:val="0"/>
      <w:divBdr>
        <w:top w:val="none" w:sz="0" w:space="0" w:color="auto"/>
        <w:left w:val="none" w:sz="0" w:space="0" w:color="auto"/>
        <w:bottom w:val="none" w:sz="0" w:space="0" w:color="auto"/>
        <w:right w:val="none" w:sz="0" w:space="0" w:color="auto"/>
      </w:divBdr>
    </w:div>
    <w:div w:id="1698506686">
      <w:bodyDiv w:val="1"/>
      <w:marLeft w:val="0"/>
      <w:marRight w:val="0"/>
      <w:marTop w:val="0"/>
      <w:marBottom w:val="0"/>
      <w:divBdr>
        <w:top w:val="none" w:sz="0" w:space="0" w:color="auto"/>
        <w:left w:val="none" w:sz="0" w:space="0" w:color="auto"/>
        <w:bottom w:val="none" w:sz="0" w:space="0" w:color="auto"/>
        <w:right w:val="none" w:sz="0" w:space="0" w:color="auto"/>
      </w:divBdr>
    </w:div>
    <w:div w:id="1718820185">
      <w:bodyDiv w:val="1"/>
      <w:marLeft w:val="0"/>
      <w:marRight w:val="0"/>
      <w:marTop w:val="0"/>
      <w:marBottom w:val="0"/>
      <w:divBdr>
        <w:top w:val="none" w:sz="0" w:space="0" w:color="auto"/>
        <w:left w:val="none" w:sz="0" w:space="0" w:color="auto"/>
        <w:bottom w:val="none" w:sz="0" w:space="0" w:color="auto"/>
        <w:right w:val="none" w:sz="0" w:space="0" w:color="auto"/>
      </w:divBdr>
    </w:div>
    <w:div w:id="1791313109">
      <w:bodyDiv w:val="1"/>
      <w:marLeft w:val="0"/>
      <w:marRight w:val="0"/>
      <w:marTop w:val="0"/>
      <w:marBottom w:val="0"/>
      <w:divBdr>
        <w:top w:val="none" w:sz="0" w:space="0" w:color="auto"/>
        <w:left w:val="none" w:sz="0" w:space="0" w:color="auto"/>
        <w:bottom w:val="none" w:sz="0" w:space="0" w:color="auto"/>
        <w:right w:val="none" w:sz="0" w:space="0" w:color="auto"/>
      </w:divBdr>
    </w:div>
    <w:div w:id="1813716128">
      <w:bodyDiv w:val="1"/>
      <w:marLeft w:val="0"/>
      <w:marRight w:val="0"/>
      <w:marTop w:val="0"/>
      <w:marBottom w:val="0"/>
      <w:divBdr>
        <w:top w:val="none" w:sz="0" w:space="0" w:color="auto"/>
        <w:left w:val="none" w:sz="0" w:space="0" w:color="auto"/>
        <w:bottom w:val="none" w:sz="0" w:space="0" w:color="auto"/>
        <w:right w:val="none" w:sz="0" w:space="0" w:color="auto"/>
      </w:divBdr>
    </w:div>
    <w:div w:id="1814641168">
      <w:bodyDiv w:val="1"/>
      <w:marLeft w:val="0"/>
      <w:marRight w:val="0"/>
      <w:marTop w:val="0"/>
      <w:marBottom w:val="0"/>
      <w:divBdr>
        <w:top w:val="none" w:sz="0" w:space="0" w:color="auto"/>
        <w:left w:val="none" w:sz="0" w:space="0" w:color="auto"/>
        <w:bottom w:val="none" w:sz="0" w:space="0" w:color="auto"/>
        <w:right w:val="none" w:sz="0" w:space="0" w:color="auto"/>
      </w:divBdr>
    </w:div>
    <w:div w:id="1821653956">
      <w:bodyDiv w:val="1"/>
      <w:marLeft w:val="0"/>
      <w:marRight w:val="0"/>
      <w:marTop w:val="0"/>
      <w:marBottom w:val="0"/>
      <w:divBdr>
        <w:top w:val="none" w:sz="0" w:space="0" w:color="auto"/>
        <w:left w:val="none" w:sz="0" w:space="0" w:color="auto"/>
        <w:bottom w:val="none" w:sz="0" w:space="0" w:color="auto"/>
        <w:right w:val="none" w:sz="0" w:space="0" w:color="auto"/>
      </w:divBdr>
    </w:div>
    <w:div w:id="1902596855">
      <w:bodyDiv w:val="1"/>
      <w:marLeft w:val="0"/>
      <w:marRight w:val="0"/>
      <w:marTop w:val="0"/>
      <w:marBottom w:val="0"/>
      <w:divBdr>
        <w:top w:val="none" w:sz="0" w:space="0" w:color="auto"/>
        <w:left w:val="none" w:sz="0" w:space="0" w:color="auto"/>
        <w:bottom w:val="none" w:sz="0" w:space="0" w:color="auto"/>
        <w:right w:val="none" w:sz="0" w:space="0" w:color="auto"/>
      </w:divBdr>
    </w:div>
    <w:div w:id="1931499637">
      <w:bodyDiv w:val="1"/>
      <w:marLeft w:val="0"/>
      <w:marRight w:val="0"/>
      <w:marTop w:val="0"/>
      <w:marBottom w:val="0"/>
      <w:divBdr>
        <w:top w:val="none" w:sz="0" w:space="0" w:color="auto"/>
        <w:left w:val="none" w:sz="0" w:space="0" w:color="auto"/>
        <w:bottom w:val="none" w:sz="0" w:space="0" w:color="auto"/>
        <w:right w:val="none" w:sz="0" w:space="0" w:color="auto"/>
      </w:divBdr>
    </w:div>
    <w:div w:id="1971403147">
      <w:bodyDiv w:val="1"/>
      <w:marLeft w:val="0"/>
      <w:marRight w:val="0"/>
      <w:marTop w:val="0"/>
      <w:marBottom w:val="0"/>
      <w:divBdr>
        <w:top w:val="none" w:sz="0" w:space="0" w:color="auto"/>
        <w:left w:val="none" w:sz="0" w:space="0" w:color="auto"/>
        <w:bottom w:val="none" w:sz="0" w:space="0" w:color="auto"/>
        <w:right w:val="none" w:sz="0" w:space="0" w:color="auto"/>
      </w:divBdr>
    </w:div>
    <w:div w:id="2085296628">
      <w:bodyDiv w:val="1"/>
      <w:marLeft w:val="0"/>
      <w:marRight w:val="0"/>
      <w:marTop w:val="0"/>
      <w:marBottom w:val="0"/>
      <w:divBdr>
        <w:top w:val="none" w:sz="0" w:space="0" w:color="auto"/>
        <w:left w:val="none" w:sz="0" w:space="0" w:color="auto"/>
        <w:bottom w:val="none" w:sz="0" w:space="0" w:color="auto"/>
        <w:right w:val="none" w:sz="0" w:space="0" w:color="auto"/>
      </w:divBdr>
    </w:div>
    <w:div w:id="2090105766">
      <w:bodyDiv w:val="1"/>
      <w:marLeft w:val="0"/>
      <w:marRight w:val="0"/>
      <w:marTop w:val="0"/>
      <w:marBottom w:val="0"/>
      <w:divBdr>
        <w:top w:val="none" w:sz="0" w:space="0" w:color="auto"/>
        <w:left w:val="none" w:sz="0" w:space="0" w:color="auto"/>
        <w:bottom w:val="none" w:sz="0" w:space="0" w:color="auto"/>
        <w:right w:val="none" w:sz="0" w:space="0" w:color="auto"/>
      </w:divBdr>
    </w:div>
    <w:div w:id="2110462177">
      <w:bodyDiv w:val="1"/>
      <w:marLeft w:val="0"/>
      <w:marRight w:val="0"/>
      <w:marTop w:val="0"/>
      <w:marBottom w:val="0"/>
      <w:divBdr>
        <w:top w:val="none" w:sz="0" w:space="0" w:color="auto"/>
        <w:left w:val="none" w:sz="0" w:space="0" w:color="auto"/>
        <w:bottom w:val="none" w:sz="0" w:space="0" w:color="auto"/>
        <w:right w:val="none" w:sz="0" w:space="0" w:color="auto"/>
      </w:divBdr>
    </w:div>
    <w:div w:id="2122604781">
      <w:bodyDiv w:val="1"/>
      <w:marLeft w:val="0"/>
      <w:marRight w:val="0"/>
      <w:marTop w:val="0"/>
      <w:marBottom w:val="0"/>
      <w:divBdr>
        <w:top w:val="none" w:sz="0" w:space="0" w:color="auto"/>
        <w:left w:val="none" w:sz="0" w:space="0" w:color="auto"/>
        <w:bottom w:val="none" w:sz="0" w:space="0" w:color="auto"/>
        <w:right w:val="none" w:sz="0" w:space="0" w:color="auto"/>
      </w:divBdr>
    </w:div>
    <w:div w:id="2126346464">
      <w:bodyDiv w:val="1"/>
      <w:marLeft w:val="0"/>
      <w:marRight w:val="0"/>
      <w:marTop w:val="0"/>
      <w:marBottom w:val="0"/>
      <w:divBdr>
        <w:top w:val="none" w:sz="0" w:space="0" w:color="auto"/>
        <w:left w:val="none" w:sz="0" w:space="0" w:color="auto"/>
        <w:bottom w:val="none" w:sz="0" w:space="0" w:color="auto"/>
        <w:right w:val="none" w:sz="0" w:space="0" w:color="auto"/>
      </w:divBdr>
    </w:div>
    <w:div w:id="2144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rdlife.org/datazone/country/cook-islands" TargetMode="External"/><Relationship Id="rId7" Type="http://schemas.openxmlformats.org/officeDocument/2006/relationships/hyperlink" Target="http://tetika.com.au/" TargetMode="External"/><Relationship Id="rId2" Type="http://schemas.openxmlformats.org/officeDocument/2006/relationships/hyperlink" Target="http://www.conservation.org/where/priority_areas/hotspots/asia-pacific/Polynesia-Micronesia/Pages/default.aspx" TargetMode="External"/><Relationship Id="rId1" Type="http://schemas.openxmlformats.org/officeDocument/2006/relationships/hyperlink" Target="http://worldwildlife.org/ecoregions/oc0103" TargetMode="External"/><Relationship Id="rId6" Type="http://schemas.openxmlformats.org/officeDocument/2006/relationships/hyperlink" Target="http://www.cimtech.com.au" TargetMode="External"/><Relationship Id="rId5" Type="http://schemas.openxmlformats.org/officeDocument/2006/relationships/hyperlink" Target="http://www.environment.gov.ck/index.php?option=com_content&amp;view=article&amp;id=62&amp;Itemid=29" TargetMode="External"/><Relationship Id="rId4" Type="http://schemas.openxmlformats.org/officeDocument/2006/relationships/hyperlink" Target="http://www.issg.org/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F97F-99E9-43FE-B0EB-5B5BE55B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14</TotalTime>
  <Pages>15</Pages>
  <Words>10352</Words>
  <Characters>59009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Cathy Maize</cp:lastModifiedBy>
  <cp:revision>3</cp:revision>
  <cp:lastPrinted>2013-09-10T01:31:00Z</cp:lastPrinted>
  <dcterms:created xsi:type="dcterms:W3CDTF">2013-10-09T02:32:00Z</dcterms:created>
  <dcterms:modified xsi:type="dcterms:W3CDTF">2013-10-09T14:17:00Z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1869393838</vt:i4>
  </property>
</Properties>
</file>